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F9C7" w14:textId="77777777" w:rsidR="007953AD" w:rsidRPr="00D42AE7" w:rsidRDefault="00F02F87" w:rsidP="00E83634">
      <w:pPr>
        <w:spacing w:after="480"/>
        <w:rPr>
          <w:rFonts w:ascii="Univers 45 Light" w:hAnsi="Univers 45 Light"/>
          <w:color w:val="F2F2F2" w:themeColor="background1" w:themeShade="F2"/>
        </w:rPr>
      </w:pPr>
      <w:r>
        <w:rPr>
          <w:noProof/>
        </w:rPr>
        <w:drawing>
          <wp:anchor distT="0" distB="0" distL="114300" distR="114300" simplePos="0" relativeHeight="251679744" behindDoc="0" locked="0" layoutInCell="1" allowOverlap="1" wp14:anchorId="6145972B" wp14:editId="45C53A64">
            <wp:simplePos x="0" y="0"/>
            <wp:positionH relativeFrom="column">
              <wp:posOffset>6146800</wp:posOffset>
            </wp:positionH>
            <wp:positionV relativeFrom="paragraph">
              <wp:posOffset>-144780</wp:posOffset>
            </wp:positionV>
            <wp:extent cx="611505" cy="1270000"/>
            <wp:effectExtent l="0" t="0" r="0" b="0"/>
            <wp:wrapNone/>
            <wp:docPr id="15" name="Picture 15" descr="Macintosh HD:Users:bell25:Downloads:verticle_sheild_knockout_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ell25:Downloads:verticle_sheild_knockout_102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6803" t="3421" r="29390" b="5822"/>
                    <a:stretch/>
                  </pic:blipFill>
                  <pic:spPr bwMode="auto">
                    <a:xfrm>
                      <a:off x="0" y="0"/>
                      <a:ext cx="611505" cy="127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793B" w:rsidRPr="00D42AE7">
        <w:rPr>
          <w:noProof/>
          <w:color w:val="F2F2F2" w:themeColor="background1" w:themeShade="F2"/>
          <w:position w:val="-2"/>
          <w:sz w:val="20"/>
        </w:rPr>
        <mc:AlternateContent>
          <mc:Choice Requires="wps">
            <w:drawing>
              <wp:anchor distT="0" distB="0" distL="114300" distR="114300" simplePos="0" relativeHeight="251678720" behindDoc="1" locked="0" layoutInCell="1" allowOverlap="1" wp14:anchorId="3A5DEC24" wp14:editId="4038E470">
                <wp:simplePos x="0" y="0"/>
                <wp:positionH relativeFrom="column">
                  <wp:posOffset>-101600</wp:posOffset>
                </wp:positionH>
                <wp:positionV relativeFrom="paragraph">
                  <wp:posOffset>-154940</wp:posOffset>
                </wp:positionV>
                <wp:extent cx="6918960" cy="1971040"/>
                <wp:effectExtent l="0" t="0" r="0" b="10160"/>
                <wp:wrapNone/>
                <wp:docPr id="14" name="Rectangle 14"/>
                <wp:cNvGraphicFramePr/>
                <a:graphic xmlns:a="http://schemas.openxmlformats.org/drawingml/2006/main">
                  <a:graphicData uri="http://schemas.microsoft.com/office/word/2010/wordprocessingShape">
                    <wps:wsp>
                      <wps:cNvSpPr/>
                      <wps:spPr>
                        <a:xfrm>
                          <a:off x="0" y="0"/>
                          <a:ext cx="6918960" cy="197104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7.95pt;margin-top:-12.15pt;width:544.8pt;height:155.2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" fillcolor="#1f497d [3215]" stroked="f"/>
            </w:pict>
          </mc:Fallback>
        </mc:AlternateContent>
      </w:r>
      <w:r w:rsidR="00D42AE7" w:rsidRPr="00D42AE7">
        <w:rPr>
          <w:rFonts w:ascii="Univers 45 Light" w:hAnsi="Univers 45 Light"/>
          <w:color w:val="F2F2F2" w:themeColor="background1" w:themeShade="F2"/>
        </w:rPr>
        <w:t>Bonner Institute for Civic and Community Engagement</w:t>
      </w:r>
    </w:p>
    <w:p w14:paraId="215A1F1C" w14:textId="77777777" w:rsidR="00D42AE7" w:rsidRPr="00CC45D1" w:rsidRDefault="00E83634" w:rsidP="00E83634">
      <w:pPr>
        <w:spacing w:before="120"/>
        <w:rPr>
          <w:rFonts w:ascii="Univers 55" w:hAnsi="Univers 55"/>
          <w:color w:val="F2F2F2" w:themeColor="background1" w:themeShade="F2"/>
          <w:sz w:val="96"/>
        </w:rPr>
      </w:pPr>
      <w:r>
        <w:rPr>
          <w:rFonts w:ascii="Univers 55" w:hAnsi="Univers 55"/>
          <w:color w:val="F2F2F2" w:themeColor="background1" w:themeShade="F2"/>
          <w:sz w:val="96"/>
        </w:rPr>
        <w:t>Issue Brief</w:t>
      </w:r>
    </w:p>
    <w:p w14:paraId="19684A85" w14:textId="77777777" w:rsidR="00CA112B" w:rsidRPr="00CA112B" w:rsidRDefault="00CA112B" w:rsidP="00CA112B"/>
    <w:p w14:paraId="50FF7F85" w14:textId="77777777" w:rsidR="007953AD" w:rsidRPr="00E83634" w:rsidRDefault="00503DB4" w:rsidP="00B678A7">
      <w:pPr>
        <w:pStyle w:val="Heading11"/>
        <w:spacing w:before="120"/>
        <w:jc w:val="left"/>
        <w:rPr>
          <w:rFonts w:ascii="Univers 55" w:hAnsi="Univers 55"/>
          <w:b/>
          <w:color w:val="DBE5F1" w:themeColor="accent1" w:themeTint="33"/>
          <w:sz w:val="44"/>
          <w:szCs w:val="40"/>
        </w:rPr>
      </w:pPr>
      <w:r>
        <w:rPr>
          <w:rFonts w:ascii="Univers 55" w:hAnsi="Univers 55"/>
          <w:b/>
          <w:color w:val="DBE5F1" w:themeColor="accent1" w:themeTint="33"/>
          <w:sz w:val="44"/>
          <w:szCs w:val="40"/>
        </w:rPr>
        <w:t>Teen Pregnancy &amp; Delinquency: Trenton</w:t>
      </w:r>
    </w:p>
    <w:p w14:paraId="74CBFBC9" w14:textId="77777777" w:rsidR="00E83634" w:rsidRDefault="00E83634" w:rsidP="00A46DD7">
      <w:pPr>
        <w:pStyle w:val="Heading21"/>
        <w:spacing w:after="120"/>
      </w:pPr>
    </w:p>
    <w:p w14:paraId="5087527E" w14:textId="77777777" w:rsidR="007953AD" w:rsidRPr="00D42AE7" w:rsidRDefault="00575F17" w:rsidP="00E83634">
      <w:pPr>
        <w:pStyle w:val="Heading21"/>
      </w:pPr>
      <w:r w:rsidRPr="00D42AE7">
        <w:rPr>
          <w:noProof/>
        </w:rPr>
        <mc:AlternateContent>
          <mc:Choice Requires="wps">
            <w:drawing>
              <wp:anchor distT="0" distB="0" distL="114300" distR="114300" simplePos="0" relativeHeight="251676672" behindDoc="0" locked="0" layoutInCell="1" allowOverlap="1" wp14:anchorId="61A081D7" wp14:editId="65A1F72F">
                <wp:simplePos x="0" y="0"/>
                <wp:positionH relativeFrom="column">
                  <wp:posOffset>5077460</wp:posOffset>
                </wp:positionH>
                <wp:positionV relativeFrom="paragraph">
                  <wp:posOffset>134620</wp:posOffset>
                </wp:positionV>
                <wp:extent cx="1761490" cy="956310"/>
                <wp:effectExtent l="0" t="0" r="0" b="8890"/>
                <wp:wrapTight wrapText="bothSides">
                  <wp:wrapPolygon edited="0">
                    <wp:start x="0" y="0"/>
                    <wp:lineTo x="0" y="21227"/>
                    <wp:lineTo x="21180" y="21227"/>
                    <wp:lineTo x="21180" y="0"/>
                    <wp:lineTo x="0" y="0"/>
                  </wp:wrapPolygon>
                </wp:wrapTight>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95631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196D9" w14:textId="77777777" w:rsidR="0002023A" w:rsidRPr="00575F17" w:rsidRDefault="0002023A" w:rsidP="008A22D5">
                            <w:pPr>
                              <w:rPr>
                                <w:rFonts w:ascii="Gill Sans" w:hAnsi="Gill Sans" w:cs="Gill Sans"/>
                                <w:sz w:val="20"/>
                                <w:szCs w:val="20"/>
                              </w:rPr>
                            </w:pPr>
                            <w:r w:rsidRPr="00503DB4">
                              <w:rPr>
                                <w:rFonts w:ascii="Gill Sans" w:hAnsi="Gill Sans" w:cs="Gill Sans"/>
                                <w:sz w:val="20"/>
                                <w:szCs w:val="20"/>
                              </w:rPr>
                              <w:t xml:space="preserve">Sons of young, teen mothers are </w:t>
                            </w:r>
                            <w:r w:rsidRPr="00503DB4">
                              <w:rPr>
                                <w:rFonts w:ascii="Gill Sans" w:hAnsi="Gill Sans" w:cs="Gill Sans"/>
                                <w:b/>
                                <w:sz w:val="20"/>
                                <w:szCs w:val="20"/>
                              </w:rPr>
                              <w:t>three times more likely to be incarcerated</w:t>
                            </w:r>
                            <w:r w:rsidRPr="00503DB4">
                              <w:rPr>
                                <w:rFonts w:ascii="Gill Sans" w:hAnsi="Gill Sans" w:cs="Gill Sans"/>
                                <w:sz w:val="20"/>
                                <w:szCs w:val="20"/>
                              </w:rPr>
                              <w:t xml:space="preserve"> than men born to non-teen mothers.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99.8pt;margin-top:10.6pt;width:138.7pt;height:7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" fillcolor="#c4bc96" stroked="f">
                <v:textbox inset=",7.2pt,,7.2pt">
                  <w:txbxContent>
                    <w:p w14:paraId="796196D9" w14:textId="77777777" w:rsidR="0002023A" w:rsidRPr="00575F17" w:rsidRDefault="0002023A" w:rsidP="008A22D5">
                      <w:pPr>
                        <w:rPr>
                          <w:rFonts w:ascii="Gill Sans" w:hAnsi="Gill Sans" w:cs="Gill Sans"/>
                          <w:sz w:val="20"/>
                          <w:szCs w:val="20"/>
                        </w:rPr>
                      </w:pPr>
                      <w:r w:rsidRPr="00503DB4">
                        <w:rPr>
                          <w:rFonts w:ascii="Gill Sans" w:hAnsi="Gill Sans" w:cs="Gill Sans"/>
                          <w:sz w:val="20"/>
                          <w:szCs w:val="20"/>
                        </w:rPr>
                        <w:t xml:space="preserve">Sons of young, teen mothers are </w:t>
                      </w:r>
                      <w:r w:rsidRPr="00503DB4">
                        <w:rPr>
                          <w:rFonts w:ascii="Gill Sans" w:hAnsi="Gill Sans" w:cs="Gill Sans"/>
                          <w:b/>
                          <w:sz w:val="20"/>
                          <w:szCs w:val="20"/>
                        </w:rPr>
                        <w:t>three times more likely to be incarcerated</w:t>
                      </w:r>
                      <w:r w:rsidRPr="00503DB4">
                        <w:rPr>
                          <w:rFonts w:ascii="Gill Sans" w:hAnsi="Gill Sans" w:cs="Gill Sans"/>
                          <w:sz w:val="20"/>
                          <w:szCs w:val="20"/>
                        </w:rPr>
                        <w:t xml:space="preserve"> than men born to non-teen mothers.</w:t>
                      </w:r>
                    </w:p>
                  </w:txbxContent>
                </v:textbox>
                <w10:wrap type="tight"/>
              </v:shape>
            </w:pict>
          </mc:Fallback>
        </mc:AlternateContent>
      </w:r>
      <w:r w:rsidR="007953AD" w:rsidRPr="00D42AE7">
        <w:t>SCOPE OF THE PROBLEM</w:t>
      </w:r>
    </w:p>
    <w:p w14:paraId="72748B01" w14:textId="77777777" w:rsidR="00503DB4" w:rsidRPr="00503DB4" w:rsidRDefault="00503DB4" w:rsidP="00503DB4">
      <w:pPr>
        <w:pStyle w:val="BodyBullet"/>
        <w:spacing w:before="0" w:after="60"/>
        <w:rPr>
          <w:sz w:val="20"/>
        </w:rPr>
      </w:pPr>
      <w:r w:rsidRPr="00503DB4">
        <w:rPr>
          <w:sz w:val="20"/>
        </w:rPr>
        <w:t>Studies have found that children of young (teen) parents are at a higher risk for delinquent and criminal behavior.</w:t>
      </w:r>
      <w:r w:rsidRPr="00503DB4">
        <w:rPr>
          <w:sz w:val="20"/>
          <w:vertAlign w:val="superscript"/>
        </w:rPr>
        <w:endnoteReference w:id="1"/>
      </w:r>
    </w:p>
    <w:p w14:paraId="7C05A064" w14:textId="77777777" w:rsidR="00503DB4" w:rsidRPr="00503DB4" w:rsidRDefault="00503DB4" w:rsidP="00503DB4">
      <w:pPr>
        <w:pStyle w:val="BodyBullet"/>
        <w:numPr>
          <w:ilvl w:val="0"/>
          <w:numId w:val="1"/>
        </w:numPr>
        <w:spacing w:before="0" w:after="60"/>
        <w:ind w:left="360" w:hanging="187"/>
        <w:rPr>
          <w:position w:val="-2"/>
          <w:sz w:val="20"/>
        </w:rPr>
      </w:pPr>
      <w:r>
        <w:rPr>
          <w:sz w:val="20"/>
        </w:rPr>
        <w:t>C</w:t>
      </w:r>
      <w:r w:rsidRPr="00503DB4">
        <w:rPr>
          <w:sz w:val="20"/>
        </w:rPr>
        <w:t xml:space="preserve">hildren of </w:t>
      </w:r>
      <w:r w:rsidRPr="00503DB4">
        <w:rPr>
          <w:position w:val="-2"/>
          <w:sz w:val="20"/>
        </w:rPr>
        <w:t xml:space="preserve">adolescent mothers generally experience poorer health than children of women who are age 20 or 21 when their first child was born. </w:t>
      </w:r>
    </w:p>
    <w:p w14:paraId="7EE7266B" w14:textId="77777777" w:rsidR="00503DB4" w:rsidRPr="00503DB4" w:rsidRDefault="00503DB4" w:rsidP="00503DB4">
      <w:pPr>
        <w:pStyle w:val="BodyBullet"/>
        <w:numPr>
          <w:ilvl w:val="0"/>
          <w:numId w:val="1"/>
        </w:numPr>
        <w:spacing w:before="0" w:after="60"/>
        <w:ind w:left="360" w:hanging="187"/>
        <w:rPr>
          <w:position w:val="-2"/>
          <w:sz w:val="20"/>
        </w:rPr>
      </w:pPr>
      <w:r w:rsidRPr="00503DB4">
        <w:rPr>
          <w:position w:val="-2"/>
          <w:sz w:val="20"/>
        </w:rPr>
        <w:t>Children born to youngest teen mothers are at greater risk for suffering child abuse or neglect than those born to older mothers.</w:t>
      </w:r>
    </w:p>
    <w:p w14:paraId="04B9CE16" w14:textId="77777777" w:rsidR="00503DB4" w:rsidRPr="00503DB4" w:rsidRDefault="00503DB4" w:rsidP="00503DB4">
      <w:pPr>
        <w:pStyle w:val="BodyBullet"/>
        <w:numPr>
          <w:ilvl w:val="0"/>
          <w:numId w:val="1"/>
        </w:numPr>
        <w:spacing w:before="0" w:after="60"/>
        <w:ind w:left="360" w:hanging="187"/>
        <w:rPr>
          <w:position w:val="-2"/>
          <w:sz w:val="20"/>
        </w:rPr>
      </w:pPr>
      <w:r w:rsidRPr="00503DB4">
        <w:rPr>
          <w:position w:val="-2"/>
          <w:sz w:val="20"/>
        </w:rPr>
        <w:t>Children of teen mothers are at higher risk for behavioral problems including aggression and flattened affect (little to no emotion).</w:t>
      </w:r>
    </w:p>
    <w:p w14:paraId="6723D52B" w14:textId="77777777" w:rsidR="00503DB4" w:rsidRPr="00503DB4" w:rsidRDefault="00503DB4" w:rsidP="00503DB4">
      <w:pPr>
        <w:pStyle w:val="BodyBullet"/>
        <w:numPr>
          <w:ilvl w:val="0"/>
          <w:numId w:val="1"/>
        </w:numPr>
        <w:spacing w:before="0" w:after="60"/>
        <w:ind w:left="360" w:hanging="187"/>
        <w:rPr>
          <w:b/>
          <w:sz w:val="20"/>
        </w:rPr>
      </w:pPr>
      <w:r>
        <w:rPr>
          <w:b/>
          <w:position w:val="-2"/>
          <w:sz w:val="20"/>
        </w:rPr>
        <w:t>Only 77%</w:t>
      </w:r>
      <w:r w:rsidRPr="00503DB4">
        <w:rPr>
          <w:b/>
          <w:position w:val="-2"/>
          <w:sz w:val="20"/>
        </w:rPr>
        <w:t xml:space="preserve"> of children born to teen mothers complete high school by early adulthood while 89 percent of children of older</w:t>
      </w:r>
      <w:r w:rsidRPr="00503DB4">
        <w:rPr>
          <w:b/>
          <w:sz w:val="20"/>
        </w:rPr>
        <w:t xml:space="preserve"> </w:t>
      </w:r>
      <w:proofErr w:type="gramStart"/>
      <w:r w:rsidRPr="00503DB4">
        <w:rPr>
          <w:b/>
          <w:sz w:val="20"/>
        </w:rPr>
        <w:t>mothers</w:t>
      </w:r>
      <w:proofErr w:type="gramEnd"/>
      <w:r w:rsidRPr="00503DB4">
        <w:rPr>
          <w:b/>
          <w:sz w:val="20"/>
        </w:rPr>
        <w:t xml:space="preserve"> successfully graduate.</w:t>
      </w:r>
    </w:p>
    <w:p w14:paraId="64B5AEC8" w14:textId="77777777" w:rsidR="00503DB4" w:rsidRPr="00503DB4" w:rsidRDefault="00503DB4" w:rsidP="00503DB4">
      <w:pPr>
        <w:pStyle w:val="BodyBullet"/>
        <w:spacing w:before="0" w:after="60"/>
        <w:ind w:left="173"/>
        <w:rPr>
          <w:position w:val="-2"/>
          <w:sz w:val="20"/>
        </w:rPr>
      </w:pPr>
      <w:r>
        <w:rPr>
          <w:position w:val="-2"/>
          <w:sz w:val="20"/>
        </w:rPr>
        <w:t xml:space="preserve">Studies have found that 10.3% </w:t>
      </w:r>
      <w:r w:rsidRPr="00503DB4">
        <w:rPr>
          <w:position w:val="-2"/>
          <w:sz w:val="20"/>
        </w:rPr>
        <w:t xml:space="preserve">of men born to mothers age 17 and younger are incarcerated at some </w:t>
      </w:r>
      <w:r>
        <w:rPr>
          <w:position w:val="-2"/>
          <w:sz w:val="20"/>
        </w:rPr>
        <w:t xml:space="preserve">point in their lives versus 3.8% </w:t>
      </w:r>
      <w:r w:rsidRPr="00503DB4">
        <w:rPr>
          <w:position w:val="-2"/>
          <w:sz w:val="20"/>
        </w:rPr>
        <w:t>of men with mothers 20 years and older.</w:t>
      </w:r>
    </w:p>
    <w:p w14:paraId="28FF1888" w14:textId="77777777" w:rsidR="00503DB4" w:rsidRPr="00503DB4" w:rsidRDefault="00503DB4" w:rsidP="00503DB4">
      <w:pPr>
        <w:pStyle w:val="BodyBullet"/>
        <w:numPr>
          <w:ilvl w:val="0"/>
          <w:numId w:val="1"/>
        </w:numPr>
        <w:spacing w:before="0" w:after="60"/>
        <w:ind w:left="360" w:hanging="187"/>
        <w:rPr>
          <w:position w:val="-2"/>
          <w:sz w:val="20"/>
        </w:rPr>
      </w:pPr>
      <w:r w:rsidRPr="00503DB4">
        <w:rPr>
          <w:position w:val="-2"/>
          <w:sz w:val="20"/>
        </w:rPr>
        <w:t>New Jersey’s teen birth rate is approximately 20.1% compared to the national 34.25%.</w:t>
      </w:r>
    </w:p>
    <w:p w14:paraId="5D5CE622" w14:textId="77777777" w:rsidR="00503DB4" w:rsidRPr="00503DB4" w:rsidRDefault="00503DB4" w:rsidP="00503DB4">
      <w:pPr>
        <w:pStyle w:val="BodyBullet"/>
        <w:numPr>
          <w:ilvl w:val="1"/>
          <w:numId w:val="1"/>
        </w:numPr>
        <w:ind w:left="720" w:hanging="180"/>
        <w:rPr>
          <w:position w:val="-2"/>
          <w:sz w:val="20"/>
        </w:rPr>
      </w:pPr>
      <w:r w:rsidRPr="00503DB4">
        <w:rPr>
          <w:position w:val="-2"/>
          <w:sz w:val="20"/>
        </w:rPr>
        <w:t>New Jersey was ranked 47 out of 51 (50 states plus the District of Columbia) on 2010 teen birth rates among women aged 15-19.</w:t>
      </w:r>
      <w:r w:rsidRPr="00503DB4">
        <w:rPr>
          <w:position w:val="-2"/>
          <w:sz w:val="20"/>
          <w:vertAlign w:val="superscript"/>
        </w:rPr>
        <w:endnoteReference w:id="2"/>
      </w:r>
    </w:p>
    <w:p w14:paraId="4FF58031" w14:textId="77777777" w:rsidR="00503DB4" w:rsidRDefault="00503DB4" w:rsidP="00503DB4">
      <w:pPr>
        <w:pStyle w:val="BodyBullet"/>
        <w:numPr>
          <w:ilvl w:val="1"/>
          <w:numId w:val="1"/>
        </w:numPr>
        <w:ind w:left="720" w:hanging="180"/>
        <w:rPr>
          <w:position w:val="-2"/>
          <w:sz w:val="20"/>
        </w:rPr>
      </w:pPr>
      <w:r w:rsidRPr="00503DB4">
        <w:rPr>
          <w:position w:val="-2"/>
          <w:sz w:val="20"/>
        </w:rPr>
        <w:t>Teens ages 15 to 17 in New Jersey have a pregnancy rate of 9.6 percent while women ages 18-19 have a pregnancy rate of 37.6</w:t>
      </w:r>
      <w:r>
        <w:rPr>
          <w:position w:val="-2"/>
          <w:sz w:val="20"/>
        </w:rPr>
        <w:t>%</w:t>
      </w:r>
      <w:r w:rsidRPr="00503DB4">
        <w:rPr>
          <w:position w:val="-2"/>
          <w:sz w:val="20"/>
        </w:rPr>
        <w:t>. This is still significant</w:t>
      </w:r>
      <w:r>
        <w:rPr>
          <w:position w:val="-2"/>
          <w:sz w:val="20"/>
        </w:rPr>
        <w:t>ly lower than the national 17.3% and 58.2%</w:t>
      </w:r>
      <w:r w:rsidRPr="00503DB4">
        <w:rPr>
          <w:position w:val="-2"/>
          <w:sz w:val="20"/>
        </w:rPr>
        <w:t xml:space="preserve">, respectively. </w:t>
      </w:r>
      <w:r>
        <w:rPr>
          <w:position w:val="-2"/>
          <w:sz w:val="20"/>
        </w:rPr>
        <w:t xml:space="preserve">Approximately 15.2% </w:t>
      </w:r>
      <w:r w:rsidRPr="00503DB4">
        <w:rPr>
          <w:position w:val="-2"/>
          <w:sz w:val="20"/>
        </w:rPr>
        <w:t>of youth in New Jersey admit to not using any contraceptive method to prevent pregnancy.</w:t>
      </w:r>
      <w:r w:rsidRPr="00503DB4">
        <w:rPr>
          <w:position w:val="-2"/>
          <w:sz w:val="20"/>
          <w:vertAlign w:val="superscript"/>
        </w:rPr>
        <w:endnoteReference w:id="3"/>
      </w:r>
    </w:p>
    <w:p w14:paraId="1843A97A" w14:textId="77777777" w:rsidR="00503DB4" w:rsidRPr="00503DB4" w:rsidRDefault="00503DB4" w:rsidP="00503DB4">
      <w:pPr>
        <w:pStyle w:val="BodyBullet"/>
        <w:numPr>
          <w:ilvl w:val="2"/>
          <w:numId w:val="1"/>
        </w:numPr>
        <w:tabs>
          <w:tab w:val="clear" w:pos="180"/>
        </w:tabs>
        <w:spacing w:before="0" w:after="60"/>
        <w:ind w:left="1170" w:hanging="270"/>
        <w:rPr>
          <w:position w:val="-2"/>
          <w:sz w:val="20"/>
        </w:rPr>
      </w:pPr>
      <w:r w:rsidRPr="00503DB4">
        <w:rPr>
          <w:position w:val="-2"/>
          <w:sz w:val="20"/>
        </w:rPr>
        <w:t>5,793 girls ages 15-19 gave birth in 2010 in New Jersey.</w:t>
      </w:r>
      <w:r w:rsidRPr="00503DB4">
        <w:rPr>
          <w:position w:val="-2"/>
          <w:sz w:val="20"/>
          <w:vertAlign w:val="superscript"/>
        </w:rPr>
        <w:endnoteReference w:id="4"/>
      </w:r>
    </w:p>
    <w:p w14:paraId="76C96058" w14:textId="77777777" w:rsidR="00503DB4" w:rsidRPr="00503DB4" w:rsidRDefault="00503DB4" w:rsidP="00503DB4">
      <w:pPr>
        <w:pStyle w:val="BodyBullet"/>
        <w:numPr>
          <w:ilvl w:val="1"/>
          <w:numId w:val="1"/>
        </w:numPr>
        <w:ind w:left="720" w:hanging="180"/>
        <w:rPr>
          <w:position w:val="-2"/>
          <w:sz w:val="20"/>
        </w:rPr>
      </w:pPr>
      <w:r w:rsidRPr="00503DB4">
        <w:rPr>
          <w:position w:val="-2"/>
          <w:sz w:val="20"/>
        </w:rPr>
        <w:t>Teen childbearing cost New Jersey approximately $245 million in the yea 2008, according to the National Campaign to Prevent Teen and Unplanned Pregnancy.</w:t>
      </w:r>
    </w:p>
    <w:p w14:paraId="2682048F" w14:textId="77777777" w:rsidR="00503DB4" w:rsidRPr="00503DB4" w:rsidRDefault="00503DB4" w:rsidP="00503DB4">
      <w:pPr>
        <w:pStyle w:val="BodyBullet"/>
        <w:spacing w:before="0" w:after="60"/>
        <w:ind w:left="173"/>
        <w:jc w:val="both"/>
        <w:rPr>
          <w:position w:val="-2"/>
          <w:sz w:val="20"/>
        </w:rPr>
      </w:pPr>
      <w:r w:rsidRPr="00503DB4">
        <w:rPr>
          <w:position w:val="-2"/>
          <w:sz w:val="20"/>
        </w:rPr>
        <w:t>In Mercer County, the</w:t>
      </w:r>
      <w:r>
        <w:rPr>
          <w:position w:val="-2"/>
          <w:sz w:val="20"/>
        </w:rPr>
        <w:t xml:space="preserve"> most recent data shows the</w:t>
      </w:r>
      <w:r w:rsidRPr="00503DB4">
        <w:rPr>
          <w:position w:val="-2"/>
          <w:sz w:val="20"/>
        </w:rPr>
        <w:t xml:space="preserve"> teen pregnancy rate is approximately 25</w:t>
      </w:r>
      <w:r>
        <w:rPr>
          <w:position w:val="-2"/>
          <w:sz w:val="20"/>
        </w:rPr>
        <w:t>%</w:t>
      </w:r>
      <w:r w:rsidRPr="00503DB4">
        <w:rPr>
          <w:position w:val="-2"/>
          <w:sz w:val="20"/>
        </w:rPr>
        <w:t>.</w:t>
      </w:r>
      <w:r w:rsidRPr="00503DB4">
        <w:rPr>
          <w:position w:val="-2"/>
          <w:sz w:val="20"/>
          <w:vertAlign w:val="superscript"/>
        </w:rPr>
        <w:endnoteReference w:id="5"/>
      </w:r>
    </w:p>
    <w:p w14:paraId="64F5ADB3" w14:textId="77777777" w:rsidR="00503DB4" w:rsidRPr="00503DB4" w:rsidRDefault="00503DB4" w:rsidP="00503DB4">
      <w:pPr>
        <w:pStyle w:val="BodyBullet"/>
        <w:numPr>
          <w:ilvl w:val="0"/>
          <w:numId w:val="1"/>
        </w:numPr>
        <w:spacing w:before="0" w:after="60"/>
        <w:ind w:left="360" w:hanging="187"/>
        <w:jc w:val="both"/>
        <w:rPr>
          <w:b/>
          <w:position w:val="-2"/>
          <w:sz w:val="20"/>
        </w:rPr>
      </w:pPr>
      <w:r w:rsidRPr="00503DB4">
        <w:rPr>
          <w:b/>
          <w:noProof/>
          <w:position w:val="-2"/>
          <w:sz w:val="20"/>
        </w:rPr>
        <mc:AlternateContent>
          <mc:Choice Requires="wps">
            <w:drawing>
              <wp:anchor distT="0" distB="0" distL="114300" distR="114300" simplePos="0" relativeHeight="251666432" behindDoc="0" locked="0" layoutInCell="1" allowOverlap="1" wp14:anchorId="1194BD5D" wp14:editId="7926E79B">
                <wp:simplePos x="0" y="0"/>
                <wp:positionH relativeFrom="column">
                  <wp:posOffset>5047615</wp:posOffset>
                </wp:positionH>
                <wp:positionV relativeFrom="paragraph">
                  <wp:posOffset>381635</wp:posOffset>
                </wp:positionV>
                <wp:extent cx="1761490" cy="673100"/>
                <wp:effectExtent l="0" t="0" r="0" b="12700"/>
                <wp:wrapTight wrapText="bothSides">
                  <wp:wrapPolygon edited="0">
                    <wp:start x="0" y="0"/>
                    <wp:lineTo x="0" y="21192"/>
                    <wp:lineTo x="21180" y="21192"/>
                    <wp:lineTo x="21180"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67310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4F662" w14:textId="77777777" w:rsidR="0002023A" w:rsidRPr="00503DB4" w:rsidRDefault="0002023A" w:rsidP="00503DB4">
                            <w:pPr>
                              <w:rPr>
                                <w:rFonts w:ascii="Gill Sans" w:hAnsi="Gill Sans" w:cs="Gill Sans"/>
                                <w:sz w:val="20"/>
                                <w:szCs w:val="20"/>
                              </w:rPr>
                            </w:pPr>
                            <w:r w:rsidRPr="00503DB4">
                              <w:rPr>
                                <w:rFonts w:ascii="Gill Sans" w:hAnsi="Gill Sans" w:cs="Gill Sans"/>
                                <w:sz w:val="20"/>
                                <w:szCs w:val="20"/>
                              </w:rPr>
                              <w:t xml:space="preserve">About </w:t>
                            </w:r>
                            <w:r w:rsidRPr="00503DB4">
                              <w:rPr>
                                <w:rFonts w:ascii="Gill Sans" w:hAnsi="Gill Sans" w:cs="Gill Sans"/>
                                <w:b/>
                                <w:sz w:val="20"/>
                                <w:szCs w:val="20"/>
                              </w:rPr>
                              <w:t>75% of teen mothers</w:t>
                            </w:r>
                            <w:r w:rsidRPr="00503DB4">
                              <w:rPr>
                                <w:rFonts w:ascii="Gill Sans" w:hAnsi="Gill Sans" w:cs="Gill Sans"/>
                                <w:sz w:val="20"/>
                                <w:szCs w:val="20"/>
                              </w:rPr>
                              <w:t xml:space="preserve"> in Mercer County lived in </w:t>
                            </w:r>
                            <w:r w:rsidRPr="00503DB4">
                              <w:rPr>
                                <w:rFonts w:ascii="Gill Sans" w:hAnsi="Gill Sans" w:cs="Gill Sans"/>
                                <w:b/>
                                <w:sz w:val="20"/>
                                <w:szCs w:val="20"/>
                              </w:rPr>
                              <w:t>Trenton</w:t>
                            </w:r>
                            <w:r w:rsidRPr="00503DB4">
                              <w:rPr>
                                <w:rFonts w:ascii="Gill Sans" w:hAnsi="Gill Sans" w:cs="Gill Sans"/>
                                <w:sz w:val="20"/>
                                <w:szCs w:val="20"/>
                              </w:rPr>
                              <w:t xml:space="preserve"> in 2005.</w:t>
                            </w:r>
                          </w:p>
                          <w:p w14:paraId="395CADF9" w14:textId="77777777" w:rsidR="0002023A" w:rsidRPr="00575F17" w:rsidRDefault="0002023A">
                            <w:pPr>
                              <w:rPr>
                                <w:rFonts w:ascii="Gill Sans" w:hAnsi="Gill Sans" w:cs="Gill San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7.45pt;margin-top:30.05pt;width:138.7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" fillcolor="#c4bc96" stroked="f">
                <v:textbox inset=",7.2pt,,7.2pt">
                  <w:txbxContent>
                    <w:p w14:paraId="00B4F662" w14:textId="77777777" w:rsidR="0002023A" w:rsidRPr="00503DB4" w:rsidRDefault="0002023A" w:rsidP="00503DB4">
                      <w:pPr>
                        <w:rPr>
                          <w:rFonts w:ascii="Gill Sans" w:hAnsi="Gill Sans" w:cs="Gill Sans"/>
                          <w:sz w:val="20"/>
                          <w:szCs w:val="20"/>
                        </w:rPr>
                      </w:pPr>
                      <w:r w:rsidRPr="00503DB4">
                        <w:rPr>
                          <w:rFonts w:ascii="Gill Sans" w:hAnsi="Gill Sans" w:cs="Gill Sans"/>
                          <w:sz w:val="20"/>
                          <w:szCs w:val="20"/>
                        </w:rPr>
                        <w:t xml:space="preserve">About </w:t>
                      </w:r>
                      <w:r w:rsidRPr="00503DB4">
                        <w:rPr>
                          <w:rFonts w:ascii="Gill Sans" w:hAnsi="Gill Sans" w:cs="Gill Sans"/>
                          <w:b/>
                          <w:sz w:val="20"/>
                          <w:szCs w:val="20"/>
                        </w:rPr>
                        <w:t>75% of teen mothers</w:t>
                      </w:r>
                      <w:r w:rsidRPr="00503DB4">
                        <w:rPr>
                          <w:rFonts w:ascii="Gill Sans" w:hAnsi="Gill Sans" w:cs="Gill Sans"/>
                          <w:sz w:val="20"/>
                          <w:szCs w:val="20"/>
                        </w:rPr>
                        <w:t xml:space="preserve"> in Mercer County lived in </w:t>
                      </w:r>
                      <w:r w:rsidRPr="00503DB4">
                        <w:rPr>
                          <w:rFonts w:ascii="Gill Sans" w:hAnsi="Gill Sans" w:cs="Gill Sans"/>
                          <w:b/>
                          <w:sz w:val="20"/>
                          <w:szCs w:val="20"/>
                        </w:rPr>
                        <w:t>Trenton</w:t>
                      </w:r>
                      <w:r w:rsidRPr="00503DB4">
                        <w:rPr>
                          <w:rFonts w:ascii="Gill Sans" w:hAnsi="Gill Sans" w:cs="Gill Sans"/>
                          <w:sz w:val="20"/>
                          <w:szCs w:val="20"/>
                        </w:rPr>
                        <w:t xml:space="preserve"> in 2005.</w:t>
                      </w:r>
                    </w:p>
                    <w:p w14:paraId="395CADF9" w14:textId="77777777" w:rsidR="0002023A" w:rsidRPr="00575F17" w:rsidRDefault="0002023A">
                      <w:pPr>
                        <w:rPr>
                          <w:rFonts w:ascii="Gill Sans" w:hAnsi="Gill Sans" w:cs="Gill Sans"/>
                          <w:sz w:val="20"/>
                          <w:szCs w:val="20"/>
                        </w:rPr>
                      </w:pPr>
                    </w:p>
                  </w:txbxContent>
                </v:textbox>
                <w10:wrap type="tight"/>
              </v:shape>
            </w:pict>
          </mc:Fallback>
        </mc:AlternateContent>
      </w:r>
      <w:r w:rsidRPr="00503DB4">
        <w:rPr>
          <w:b/>
          <w:position w:val="-2"/>
          <w:sz w:val="20"/>
        </w:rPr>
        <w:t>Approximately 13% of female students in Trenton Central High School dropped out during the 2009-2010 academic year – about eight times the rate in New Jersey.</w:t>
      </w:r>
      <w:r w:rsidRPr="00503DB4">
        <w:rPr>
          <w:b/>
          <w:position w:val="-2"/>
          <w:sz w:val="20"/>
          <w:vertAlign w:val="superscript"/>
        </w:rPr>
        <w:endnoteReference w:id="6"/>
      </w:r>
      <w:r w:rsidRPr="00503DB4">
        <w:rPr>
          <w:b/>
          <w:position w:val="-2"/>
          <w:sz w:val="20"/>
        </w:rPr>
        <w:t xml:space="preserve"> High teen pregnancy rates are one of the leading causes of drop-out rates among female students.</w:t>
      </w:r>
    </w:p>
    <w:p w14:paraId="40159E5E" w14:textId="77777777" w:rsidR="00503DB4" w:rsidRPr="00503DB4" w:rsidRDefault="00503DB4" w:rsidP="00503DB4">
      <w:pPr>
        <w:pStyle w:val="BodyBullet"/>
        <w:spacing w:before="0" w:after="60"/>
        <w:ind w:left="173"/>
        <w:jc w:val="both"/>
        <w:rPr>
          <w:position w:val="-2"/>
          <w:sz w:val="20"/>
        </w:rPr>
      </w:pPr>
      <w:r w:rsidRPr="00503DB4">
        <w:rPr>
          <w:position w:val="-2"/>
          <w:sz w:val="20"/>
        </w:rPr>
        <w:t xml:space="preserve">Trenton had the highest rates of teenage births in the state in </w:t>
      </w:r>
      <w:r>
        <w:rPr>
          <w:position w:val="-2"/>
          <w:sz w:val="20"/>
        </w:rPr>
        <w:t xml:space="preserve">2000. In 2005, approximately 75% </w:t>
      </w:r>
      <w:r w:rsidRPr="00503DB4">
        <w:rPr>
          <w:position w:val="-2"/>
          <w:sz w:val="20"/>
        </w:rPr>
        <w:t>of teen mothers in Mercer County resided in Trenton.</w:t>
      </w:r>
    </w:p>
    <w:p w14:paraId="18695D09" w14:textId="77777777" w:rsidR="007953AD" w:rsidRPr="00503DB4" w:rsidRDefault="00503DB4" w:rsidP="00503DB4">
      <w:pPr>
        <w:pStyle w:val="BodyBullet"/>
        <w:numPr>
          <w:ilvl w:val="0"/>
          <w:numId w:val="1"/>
        </w:numPr>
        <w:spacing w:before="0" w:after="60"/>
        <w:ind w:left="360" w:hanging="187"/>
        <w:jc w:val="both"/>
        <w:rPr>
          <w:position w:val="-2"/>
          <w:sz w:val="20"/>
        </w:rPr>
      </w:pPr>
      <w:r w:rsidRPr="00503DB4">
        <w:rPr>
          <w:position w:val="-2"/>
          <w:sz w:val="20"/>
        </w:rPr>
        <w:t xml:space="preserve">In 2007, 397 babies born </w:t>
      </w:r>
      <w:r>
        <w:rPr>
          <w:position w:val="-2"/>
          <w:sz w:val="20"/>
        </w:rPr>
        <w:t xml:space="preserve">to teen mothers represented 8.6% </w:t>
      </w:r>
      <w:r w:rsidRPr="00503DB4">
        <w:rPr>
          <w:position w:val="-2"/>
          <w:sz w:val="20"/>
        </w:rPr>
        <w:t>of all babies born in Mercer County.</w:t>
      </w:r>
    </w:p>
    <w:p w14:paraId="1D22D06E" w14:textId="77777777" w:rsidR="00C855CE" w:rsidRPr="008A22D5" w:rsidRDefault="00C855CE" w:rsidP="00C855CE">
      <w:pPr>
        <w:pStyle w:val="BodyBullet"/>
        <w:rPr>
          <w:position w:val="-2"/>
        </w:rPr>
      </w:pPr>
    </w:p>
    <w:p w14:paraId="5BA2BB3D" w14:textId="77777777" w:rsidR="004E7E67" w:rsidRPr="004E7E67" w:rsidRDefault="007953AD" w:rsidP="00E83634">
      <w:pPr>
        <w:pStyle w:val="Heading21"/>
      </w:pPr>
      <w:r>
        <w:t>POLICY &amp; FUNDING</w:t>
      </w:r>
    </w:p>
    <w:p w14:paraId="0CF6049B" w14:textId="77777777" w:rsidR="007953AD" w:rsidRPr="00575F17" w:rsidRDefault="007C565B" w:rsidP="00BA287B">
      <w:pPr>
        <w:pStyle w:val="FreeForm"/>
        <w:spacing w:after="120"/>
        <w:rPr>
          <w:b/>
          <w:szCs w:val="24"/>
          <w:u w:val="single"/>
        </w:rPr>
      </w:pPr>
      <w:r w:rsidRPr="00575F17">
        <w:rPr>
          <w:b/>
          <w:szCs w:val="24"/>
          <w:u w:val="single"/>
        </w:rPr>
        <w:t>National</w:t>
      </w:r>
    </w:p>
    <w:p w14:paraId="551B61EF" w14:textId="77777777" w:rsidR="0002023A" w:rsidRPr="0002023A" w:rsidRDefault="0002023A" w:rsidP="0002023A">
      <w:pPr>
        <w:pStyle w:val="BodyBullet"/>
        <w:spacing w:before="0" w:after="60"/>
        <w:rPr>
          <w:sz w:val="20"/>
        </w:rPr>
      </w:pPr>
      <w:r w:rsidRPr="0002023A">
        <w:rPr>
          <w:sz w:val="20"/>
        </w:rPr>
        <w:t>2010 legislation provided the first federal funding exclusively for teen pregnancy prevention initiatives based on best practices.</w:t>
      </w:r>
      <w:r w:rsidRPr="0002023A">
        <w:rPr>
          <w:sz w:val="20"/>
          <w:vertAlign w:val="superscript"/>
        </w:rPr>
        <w:endnoteReference w:id="7"/>
      </w:r>
      <w:r w:rsidRPr="0002023A">
        <w:rPr>
          <w:sz w:val="20"/>
        </w:rPr>
        <w:t xml:space="preserve"> The 111</w:t>
      </w:r>
      <w:r w:rsidRPr="0002023A">
        <w:rPr>
          <w:sz w:val="20"/>
          <w:vertAlign w:val="superscript"/>
        </w:rPr>
        <w:t>th</w:t>
      </w:r>
      <w:r w:rsidRPr="0002023A">
        <w:rPr>
          <w:sz w:val="20"/>
        </w:rPr>
        <w:t xml:space="preserve"> Congress established federal funding for the following evidence-based teen pregnancy prevention initiatives: </w:t>
      </w:r>
    </w:p>
    <w:p w14:paraId="1688ED70" w14:textId="77777777" w:rsidR="0002023A" w:rsidRPr="0002023A" w:rsidRDefault="0002023A" w:rsidP="0002023A">
      <w:pPr>
        <w:pStyle w:val="BodyBullet"/>
        <w:numPr>
          <w:ilvl w:val="0"/>
          <w:numId w:val="1"/>
        </w:numPr>
        <w:spacing w:before="0" w:after="60"/>
        <w:ind w:left="374" w:hanging="187"/>
        <w:rPr>
          <w:sz w:val="20"/>
        </w:rPr>
      </w:pPr>
      <w:r w:rsidRPr="0002023A">
        <w:rPr>
          <w:i/>
          <w:sz w:val="20"/>
        </w:rPr>
        <w:t>Teen Pregnancy Prevention (TPP) program</w:t>
      </w:r>
      <w:r w:rsidRPr="0002023A">
        <w:rPr>
          <w:sz w:val="20"/>
        </w:rPr>
        <w:t xml:space="preserve"> – provides grants and contracts, on a competitive basis, to public and private entities to fund “medically accurate and age appropriate” programs that reduce teen pregnancy, as well as for federal costs associated with administering and evaluating the programs.</w:t>
      </w:r>
    </w:p>
    <w:p w14:paraId="1E098C79" w14:textId="77777777" w:rsidR="0002023A" w:rsidRPr="0002023A" w:rsidRDefault="0002023A" w:rsidP="0002023A">
      <w:pPr>
        <w:pStyle w:val="BodyBullet"/>
        <w:numPr>
          <w:ilvl w:val="0"/>
          <w:numId w:val="1"/>
        </w:numPr>
        <w:spacing w:before="0" w:after="60"/>
        <w:ind w:left="374" w:hanging="187"/>
        <w:rPr>
          <w:sz w:val="20"/>
        </w:rPr>
      </w:pPr>
      <w:r w:rsidRPr="0002023A">
        <w:rPr>
          <w:i/>
          <w:sz w:val="20"/>
        </w:rPr>
        <w:lastRenderedPageBreak/>
        <w:t>Personal Responsibility Education Program (PREP)</w:t>
      </w:r>
      <w:r w:rsidRPr="0002023A">
        <w:rPr>
          <w:sz w:val="20"/>
        </w:rPr>
        <w:t xml:space="preserve"> – a comprehensive approach to teen pregnancy prevention that educates adolescents on both abstinence and contraception to prevent pregnancy and sexually transmitted diseases. It provides youth with information on several adult preparation subjects such as healthy relationships, adolescent development, financial literacy, parent-child communication, educational and career success, and healthy life skills.</w:t>
      </w:r>
    </w:p>
    <w:p w14:paraId="6F5ECCEE" w14:textId="77777777" w:rsidR="0002023A" w:rsidRPr="0002023A" w:rsidRDefault="0002023A" w:rsidP="0002023A">
      <w:pPr>
        <w:pStyle w:val="BodyBullet"/>
        <w:numPr>
          <w:ilvl w:val="1"/>
          <w:numId w:val="1"/>
        </w:numPr>
        <w:spacing w:before="0" w:after="60"/>
        <w:ind w:left="720" w:hanging="180"/>
        <w:rPr>
          <w:sz w:val="20"/>
        </w:rPr>
      </w:pPr>
      <w:r w:rsidRPr="0002023A">
        <w:rPr>
          <w:sz w:val="20"/>
        </w:rPr>
        <w:t xml:space="preserve"> PREP is required by law to replicate effective evidence-based programs or substantially incorporate elements of effective programs.</w:t>
      </w:r>
    </w:p>
    <w:p w14:paraId="22E8B189" w14:textId="77777777" w:rsidR="0002023A" w:rsidRPr="0002023A" w:rsidRDefault="0002023A" w:rsidP="0002023A">
      <w:pPr>
        <w:pStyle w:val="BodyBullet"/>
        <w:numPr>
          <w:ilvl w:val="0"/>
          <w:numId w:val="1"/>
        </w:numPr>
        <w:spacing w:before="0" w:after="60"/>
        <w:ind w:left="374" w:hanging="187"/>
        <w:rPr>
          <w:sz w:val="20"/>
        </w:rPr>
      </w:pPr>
      <w:r w:rsidRPr="0002023A">
        <w:rPr>
          <w:sz w:val="20"/>
        </w:rPr>
        <w:t>Until FY 2010, federal funding was exclusively allocated to abstinence education: the Title V Abstinence Education Block Grant to states; the Community-Based Abstinence Education (CBAE) program; and the ‘prevention’ component of the Adolescent Family Life (AFL) demonstration program.</w:t>
      </w:r>
    </w:p>
    <w:p w14:paraId="53EF9DF9" w14:textId="77777777" w:rsidR="0002023A" w:rsidRPr="0002023A" w:rsidRDefault="0002023A" w:rsidP="0002023A">
      <w:pPr>
        <w:pStyle w:val="BodyBullet"/>
        <w:numPr>
          <w:ilvl w:val="0"/>
          <w:numId w:val="1"/>
        </w:numPr>
        <w:spacing w:before="0" w:after="60"/>
        <w:ind w:left="374" w:hanging="187"/>
        <w:rPr>
          <w:sz w:val="20"/>
        </w:rPr>
      </w:pPr>
      <w:r w:rsidRPr="0002023A">
        <w:rPr>
          <w:sz w:val="20"/>
        </w:rPr>
        <w:t>Other programs that receive federal funding for teen pregnancy prevention include: Medicaid Family Planning; Title X Family Planning; the Maternal and Child Health block grant; the Temporary Assistance for Needy Families block grant; the Title XX Social Services block grant; and, other HHS programs.</w:t>
      </w:r>
    </w:p>
    <w:p w14:paraId="2A8C450E" w14:textId="77777777" w:rsidR="0002023A" w:rsidRPr="0002023A" w:rsidRDefault="0002023A" w:rsidP="0002023A">
      <w:pPr>
        <w:pStyle w:val="BodyBullet"/>
        <w:spacing w:before="0" w:after="60"/>
        <w:rPr>
          <w:sz w:val="20"/>
        </w:rPr>
      </w:pPr>
      <w:r w:rsidRPr="0002023A">
        <w:rPr>
          <w:sz w:val="20"/>
        </w:rPr>
        <w:t>The National Sexuality Education Standards Core Content and Skills, K-12 provides guidance on the essential minimum, core content for sexuality education that is developmentally and age-appropriate for students in grades K-12.</w:t>
      </w:r>
      <w:r w:rsidRPr="0002023A">
        <w:rPr>
          <w:sz w:val="20"/>
          <w:vertAlign w:val="superscript"/>
        </w:rPr>
        <w:endnoteReference w:id="8"/>
      </w:r>
    </w:p>
    <w:p w14:paraId="6241FDA1" w14:textId="77777777" w:rsidR="0002023A" w:rsidRPr="0002023A" w:rsidRDefault="0002023A" w:rsidP="0002023A">
      <w:pPr>
        <w:pStyle w:val="BodyBullet"/>
        <w:numPr>
          <w:ilvl w:val="0"/>
          <w:numId w:val="1"/>
        </w:numPr>
        <w:spacing w:before="0" w:after="60"/>
        <w:ind w:left="374" w:hanging="187"/>
        <w:rPr>
          <w:sz w:val="20"/>
        </w:rPr>
      </w:pPr>
      <w:r w:rsidRPr="0002023A">
        <w:rPr>
          <w:sz w:val="20"/>
        </w:rPr>
        <w:t>The report identifies seven topics to be address for students in grades K-12: anatomy and physiology; puberty and adolescent development; identity; pregnancy and reproduction; sexually transmitted diseases and HIV; healthy relationships; and, personal safety.</w:t>
      </w:r>
    </w:p>
    <w:p w14:paraId="18ABF7A3" w14:textId="77777777" w:rsidR="0002023A" w:rsidRPr="0002023A" w:rsidRDefault="0002023A" w:rsidP="002605F4">
      <w:pPr>
        <w:pStyle w:val="BodyBullet"/>
        <w:numPr>
          <w:ilvl w:val="0"/>
          <w:numId w:val="1"/>
        </w:numPr>
        <w:spacing w:before="0" w:after="200"/>
        <w:ind w:left="374" w:hanging="187"/>
        <w:rPr>
          <w:sz w:val="20"/>
        </w:rPr>
      </w:pPr>
      <w:r w:rsidRPr="0002023A">
        <w:rPr>
          <w:sz w:val="20"/>
        </w:rPr>
        <w:t>The report also identifies characteristics of and establishes key indicators for effective sexuality education.</w:t>
      </w:r>
    </w:p>
    <w:p w14:paraId="1847DC25" w14:textId="77777777" w:rsidR="007C565B" w:rsidRPr="00575F17" w:rsidRDefault="007C565B" w:rsidP="007953AD">
      <w:pPr>
        <w:pStyle w:val="FreeForm"/>
        <w:rPr>
          <w:b/>
          <w:szCs w:val="24"/>
          <w:u w:val="single"/>
        </w:rPr>
      </w:pPr>
      <w:r w:rsidRPr="00575F17">
        <w:rPr>
          <w:b/>
          <w:szCs w:val="24"/>
          <w:u w:val="single"/>
        </w:rPr>
        <w:t>State</w:t>
      </w:r>
    </w:p>
    <w:p w14:paraId="17D52633" w14:textId="77777777" w:rsidR="0002023A" w:rsidRPr="0002023A" w:rsidRDefault="0002023A" w:rsidP="0002023A">
      <w:pPr>
        <w:pStyle w:val="BodyBullet"/>
        <w:spacing w:before="0" w:after="60"/>
        <w:rPr>
          <w:sz w:val="20"/>
        </w:rPr>
      </w:pPr>
      <w:r w:rsidRPr="0002023A">
        <w:rPr>
          <w:i/>
          <w:sz w:val="20"/>
        </w:rPr>
        <w:t>New Jersey Core Curriculum Content Standards for Comprehensive Health and Physical Education</w:t>
      </w:r>
      <w:r w:rsidRPr="0002023A">
        <w:rPr>
          <w:b/>
          <w:sz w:val="20"/>
        </w:rPr>
        <w:t xml:space="preserve"> </w:t>
      </w:r>
      <w:r w:rsidRPr="0002023A">
        <w:rPr>
          <w:sz w:val="20"/>
        </w:rPr>
        <w:t>– New Jersey law mandates at least 150 minutes of health education during each school week in grades one through 12. High school students must acquire three and three-quarter credits of health education each year.</w:t>
      </w:r>
      <w:r w:rsidRPr="0002023A">
        <w:rPr>
          <w:sz w:val="20"/>
          <w:vertAlign w:val="superscript"/>
        </w:rPr>
        <w:endnoteReference w:id="9"/>
      </w:r>
      <w:r w:rsidRPr="0002023A">
        <w:rPr>
          <w:sz w:val="20"/>
        </w:rPr>
        <w:t xml:space="preserve"> This is one of more progressive state laws on sexual education in the country.</w:t>
      </w:r>
    </w:p>
    <w:p w14:paraId="67273330" w14:textId="77777777" w:rsidR="0002023A" w:rsidRPr="0002023A" w:rsidRDefault="0002023A" w:rsidP="0002023A">
      <w:pPr>
        <w:pStyle w:val="BodyBullet"/>
        <w:numPr>
          <w:ilvl w:val="0"/>
          <w:numId w:val="1"/>
        </w:numPr>
        <w:spacing w:before="0" w:after="60"/>
        <w:ind w:left="374" w:hanging="187"/>
        <w:rPr>
          <w:sz w:val="20"/>
        </w:rPr>
      </w:pPr>
      <w:r w:rsidRPr="0002023A">
        <w:rPr>
          <w:sz w:val="20"/>
        </w:rPr>
        <w:t>The health curricula must meet state requirements that “all students will learn the physical, emotional, and social aspects of human relationships and sexuality and apply concepts to support a healthy, active lifestyle.”</w:t>
      </w:r>
    </w:p>
    <w:p w14:paraId="65E3AF46" w14:textId="5616F1A5" w:rsidR="00A523B1" w:rsidRPr="00575F17" w:rsidRDefault="0002023A" w:rsidP="0002023A">
      <w:pPr>
        <w:pStyle w:val="BodyBullet"/>
        <w:numPr>
          <w:ilvl w:val="0"/>
          <w:numId w:val="1"/>
        </w:numPr>
        <w:spacing w:before="0" w:after="60"/>
        <w:ind w:left="374" w:hanging="187"/>
        <w:rPr>
          <w:sz w:val="20"/>
        </w:rPr>
      </w:pPr>
      <w:r w:rsidRPr="0002023A">
        <w:rPr>
          <w:sz w:val="20"/>
        </w:rPr>
        <w:t>The Common Core Framework addresses various topics for students in kindergarten through 12th-grade including families, peer pressure, media stereotypes, the reproductive system, pregnancy, HIV/AIDS, abstinence, contraception, gender assumptions, se</w:t>
      </w:r>
      <w:r w:rsidR="002605F4">
        <w:rPr>
          <w:sz w:val="20"/>
        </w:rPr>
        <w:t>xual orientation, and marriage.</w:t>
      </w:r>
      <w:bookmarkStart w:id="0" w:name="_GoBack"/>
      <w:bookmarkEnd w:id="0"/>
    </w:p>
    <w:p w14:paraId="6AC7ED6A" w14:textId="77777777" w:rsidR="00C855CE" w:rsidRPr="00B82F28" w:rsidRDefault="00C855CE" w:rsidP="00B82F28">
      <w:pPr>
        <w:rPr>
          <w:rFonts w:asciiTheme="majorHAnsi" w:hAnsiTheme="majorHAnsi"/>
          <w:sz w:val="22"/>
          <w:szCs w:val="22"/>
        </w:rPr>
      </w:pPr>
    </w:p>
    <w:p w14:paraId="12EBE54F" w14:textId="77777777" w:rsidR="007953AD" w:rsidRDefault="002568F1" w:rsidP="00E83634">
      <w:pPr>
        <w:pStyle w:val="Heading21"/>
      </w:pPr>
      <w:r>
        <w:t>MODEL PROGRAMS</w:t>
      </w:r>
    </w:p>
    <w:p w14:paraId="7EC8CD74" w14:textId="185BF527" w:rsidR="00655074" w:rsidRPr="0002023A" w:rsidRDefault="0002023A" w:rsidP="00480B34">
      <w:pPr>
        <w:pStyle w:val="FreeForm"/>
        <w:spacing w:before="60"/>
        <w:rPr>
          <w:u w:val="single"/>
        </w:rPr>
      </w:pPr>
      <w:r>
        <w:rPr>
          <w:b/>
          <w:u w:val="single"/>
        </w:rPr>
        <w:t>New Jersey Prevention Education Program (Teen PEP)</w:t>
      </w:r>
    </w:p>
    <w:p w14:paraId="787EDF76" w14:textId="77777777" w:rsidR="0002023A" w:rsidRPr="0002023A" w:rsidRDefault="0002023A" w:rsidP="0002023A">
      <w:pPr>
        <w:pStyle w:val="FreeForm"/>
        <w:spacing w:before="120"/>
        <w:rPr>
          <w:sz w:val="20"/>
        </w:rPr>
      </w:pPr>
      <w:r w:rsidRPr="0002023A">
        <w:rPr>
          <w:sz w:val="20"/>
        </w:rPr>
        <w:t>The New Jersey Teen PEP is a sexual health promotion and peer education initiative that trains high school students to serve as peer health educators, providing them with the knowledge and tools to become effective and capable health advocates and role models.</w:t>
      </w:r>
      <w:r w:rsidRPr="0002023A">
        <w:rPr>
          <w:sz w:val="20"/>
          <w:vertAlign w:val="superscript"/>
        </w:rPr>
        <w:endnoteReference w:id="10"/>
      </w:r>
    </w:p>
    <w:p w14:paraId="364FA9AE" w14:textId="77777777" w:rsidR="0002023A" w:rsidRPr="0002023A" w:rsidRDefault="0002023A" w:rsidP="0002023A">
      <w:pPr>
        <w:pStyle w:val="BodyBullet"/>
        <w:numPr>
          <w:ilvl w:val="0"/>
          <w:numId w:val="1"/>
        </w:numPr>
        <w:spacing w:before="0" w:after="60"/>
        <w:ind w:left="374" w:hanging="187"/>
        <w:rPr>
          <w:sz w:val="20"/>
        </w:rPr>
      </w:pPr>
      <w:r w:rsidRPr="0002023A">
        <w:rPr>
          <w:sz w:val="20"/>
        </w:rPr>
        <w:t xml:space="preserve">The program, established in 1999, is a collaboration of the NJ Department of Health and Senior Services, the Center for Supportive Schools, and </w:t>
      </w:r>
      <w:proofErr w:type="spellStart"/>
      <w:r w:rsidRPr="0002023A">
        <w:rPr>
          <w:sz w:val="20"/>
        </w:rPr>
        <w:t>HiTOPS</w:t>
      </w:r>
      <w:proofErr w:type="spellEnd"/>
      <w:r w:rsidRPr="0002023A">
        <w:rPr>
          <w:sz w:val="20"/>
        </w:rPr>
        <w:t>, Inc.</w:t>
      </w:r>
    </w:p>
    <w:p w14:paraId="292D3CC6" w14:textId="77777777" w:rsidR="0002023A" w:rsidRPr="0002023A" w:rsidRDefault="0002023A" w:rsidP="008E31DD">
      <w:pPr>
        <w:pStyle w:val="BodyBullet"/>
        <w:numPr>
          <w:ilvl w:val="0"/>
          <w:numId w:val="1"/>
        </w:numPr>
        <w:spacing w:before="0" w:after="200"/>
        <w:ind w:left="374" w:hanging="187"/>
        <w:rPr>
          <w:b/>
          <w:u w:val="single"/>
        </w:rPr>
      </w:pPr>
      <w:r w:rsidRPr="0002023A">
        <w:rPr>
          <w:sz w:val="20"/>
        </w:rPr>
        <w:t xml:space="preserve">The partners work with participating high schools to implement the Teen PEP sexual health course into the school’s health curricula. The course is aligned with </w:t>
      </w:r>
      <w:r w:rsidRPr="0002023A">
        <w:rPr>
          <w:i/>
          <w:sz w:val="20"/>
        </w:rPr>
        <w:t>Core Curriculum Standards</w:t>
      </w:r>
      <w:r w:rsidRPr="0002023A">
        <w:rPr>
          <w:sz w:val="20"/>
        </w:rPr>
        <w:t xml:space="preserve">, and serves as an elective or alternative </w:t>
      </w:r>
      <w:r w:rsidR="008E31DD" w:rsidRPr="0002023A">
        <w:rPr>
          <w:sz w:val="20"/>
        </w:rPr>
        <w:t>yearlong</w:t>
      </w:r>
      <w:r w:rsidRPr="0002023A">
        <w:rPr>
          <w:sz w:val="20"/>
        </w:rPr>
        <w:t xml:space="preserve"> health class for selected students in their junior or senior year.</w:t>
      </w:r>
    </w:p>
    <w:p w14:paraId="4781331F" w14:textId="77777777" w:rsidR="00B2454F" w:rsidRPr="00575F17" w:rsidRDefault="0002023A" w:rsidP="0002023A">
      <w:pPr>
        <w:pStyle w:val="BodyBullet"/>
        <w:spacing w:before="0" w:after="60"/>
        <w:rPr>
          <w:b/>
          <w:u w:val="single"/>
        </w:rPr>
      </w:pPr>
      <w:r>
        <w:rPr>
          <w:b/>
          <w:u w:val="single"/>
        </w:rPr>
        <w:t>Crossroads Programs Capable Adolescent Mothers (CAM)</w:t>
      </w:r>
      <w:r w:rsidR="00874642" w:rsidRPr="00575F17">
        <w:rPr>
          <w:b/>
          <w:u w:val="single"/>
        </w:rPr>
        <w:t xml:space="preserve"> </w:t>
      </w:r>
    </w:p>
    <w:p w14:paraId="42931922" w14:textId="77777777" w:rsidR="0002023A" w:rsidRPr="0002023A" w:rsidRDefault="0002023A" w:rsidP="0002023A">
      <w:pPr>
        <w:pStyle w:val="FreeForm"/>
        <w:spacing w:after="60"/>
        <w:jc w:val="both"/>
        <w:rPr>
          <w:b/>
          <w:sz w:val="20"/>
        </w:rPr>
      </w:pPr>
      <w:r w:rsidRPr="0002023A">
        <w:rPr>
          <w:sz w:val="20"/>
        </w:rPr>
        <w:t>Capable Adolescent Mothers is a program sponsored by Crossroads Programs, a non-profit organization founded in 1978, that offers longer-term residence for pregnant and parenting teens and their infants.</w:t>
      </w:r>
      <w:r w:rsidRPr="0002023A">
        <w:rPr>
          <w:sz w:val="20"/>
          <w:vertAlign w:val="superscript"/>
        </w:rPr>
        <w:endnoteReference w:id="11"/>
      </w:r>
    </w:p>
    <w:p w14:paraId="20380445" w14:textId="77777777" w:rsidR="0002023A" w:rsidRPr="0002023A" w:rsidRDefault="0002023A" w:rsidP="0002023A">
      <w:pPr>
        <w:pStyle w:val="BodyBullet"/>
        <w:numPr>
          <w:ilvl w:val="0"/>
          <w:numId w:val="1"/>
        </w:numPr>
        <w:spacing w:before="0" w:after="60"/>
        <w:ind w:left="374" w:hanging="187"/>
        <w:rPr>
          <w:sz w:val="20"/>
        </w:rPr>
      </w:pPr>
      <w:r w:rsidRPr="0002023A">
        <w:rPr>
          <w:sz w:val="20"/>
        </w:rPr>
        <w:t xml:space="preserve">CAM serves youth mothers from sixteen to twenty-one years of age that do not have a healthy or stable home for themselves or their child or children. </w:t>
      </w:r>
    </w:p>
    <w:p w14:paraId="20089985" w14:textId="77777777" w:rsidR="0002023A" w:rsidRPr="0002023A" w:rsidRDefault="0002023A" w:rsidP="0002023A">
      <w:pPr>
        <w:pStyle w:val="BodyBullet"/>
        <w:numPr>
          <w:ilvl w:val="0"/>
          <w:numId w:val="1"/>
        </w:numPr>
        <w:spacing w:before="0" w:after="60"/>
        <w:ind w:left="374" w:hanging="187"/>
        <w:rPr>
          <w:sz w:val="20"/>
        </w:rPr>
      </w:pPr>
      <w:r w:rsidRPr="0002023A">
        <w:rPr>
          <w:sz w:val="20"/>
        </w:rPr>
        <w:t xml:space="preserve">Mothers voluntarily enter the program and receive housing, a positive mentoring relationship with staff persons, and other trauma-sensitive services. </w:t>
      </w:r>
    </w:p>
    <w:p w14:paraId="04F63D9D" w14:textId="77777777" w:rsidR="0002023A" w:rsidRPr="0002023A" w:rsidRDefault="0002023A" w:rsidP="008E31DD">
      <w:pPr>
        <w:pStyle w:val="BodyBullet"/>
        <w:numPr>
          <w:ilvl w:val="0"/>
          <w:numId w:val="1"/>
        </w:numPr>
        <w:spacing w:before="0" w:after="200"/>
        <w:ind w:left="374" w:hanging="187"/>
        <w:rPr>
          <w:sz w:val="20"/>
        </w:rPr>
      </w:pPr>
      <w:r w:rsidRPr="0002023A">
        <w:rPr>
          <w:sz w:val="20"/>
        </w:rPr>
        <w:t>Infants of CAM receive 24-hour supervision, nursing care, an infant stimulation program, childcare, access to pediatric care, and nutritional oversight.</w:t>
      </w:r>
    </w:p>
    <w:p w14:paraId="0D161550" w14:textId="77777777" w:rsidR="00655074" w:rsidRDefault="008E31DD" w:rsidP="00B9078E">
      <w:pPr>
        <w:pStyle w:val="FreeForm"/>
        <w:rPr>
          <w:u w:val="single"/>
        </w:rPr>
      </w:pPr>
      <w:r>
        <w:rPr>
          <w:b/>
          <w:u w:val="single"/>
        </w:rPr>
        <w:t>Project Teen Education and Child Health (Project TEACH)</w:t>
      </w:r>
    </w:p>
    <w:p w14:paraId="233C6805" w14:textId="77777777" w:rsidR="008E31DD" w:rsidRPr="008E31DD" w:rsidRDefault="008E31DD" w:rsidP="008E31DD">
      <w:pPr>
        <w:pStyle w:val="FreeForm"/>
        <w:spacing w:after="120"/>
        <w:jc w:val="both"/>
        <w:rPr>
          <w:b/>
          <w:sz w:val="20"/>
        </w:rPr>
      </w:pPr>
      <w:proofErr w:type="gramStart"/>
      <w:r w:rsidRPr="008E31DD">
        <w:rPr>
          <w:sz w:val="20"/>
        </w:rPr>
        <w:lastRenderedPageBreak/>
        <w:t>Project TEACH</w:t>
      </w:r>
      <w:proofErr w:type="gramEnd"/>
      <w:r w:rsidRPr="008E31DD">
        <w:rPr>
          <w:sz w:val="20"/>
        </w:rPr>
        <w:t xml:space="preserve"> is an educational program that aims to provide pregnant and parenting teenagers with the needed resources to create a positive life for themselves and their children.</w:t>
      </w:r>
      <w:r w:rsidRPr="008E31DD">
        <w:rPr>
          <w:sz w:val="20"/>
          <w:vertAlign w:val="superscript"/>
        </w:rPr>
        <w:endnoteReference w:id="12"/>
      </w:r>
      <w:r w:rsidRPr="008E31DD">
        <w:rPr>
          <w:sz w:val="20"/>
        </w:rPr>
        <w:t xml:space="preserve"> The program goals revolve around ensuring that each student will receive a diploma from her local high school or return to their local school districts to complete their education.</w:t>
      </w:r>
    </w:p>
    <w:p w14:paraId="5F6F4601" w14:textId="77777777" w:rsidR="008E31DD" w:rsidRPr="008E31DD" w:rsidRDefault="008E31DD" w:rsidP="008E31DD">
      <w:pPr>
        <w:pStyle w:val="BodyBullet"/>
        <w:numPr>
          <w:ilvl w:val="0"/>
          <w:numId w:val="1"/>
        </w:numPr>
        <w:spacing w:before="0" w:after="60"/>
        <w:ind w:left="374" w:hanging="187"/>
        <w:rPr>
          <w:sz w:val="20"/>
        </w:rPr>
      </w:pPr>
      <w:r w:rsidRPr="008E31DD">
        <w:rPr>
          <w:sz w:val="20"/>
        </w:rPr>
        <w:t xml:space="preserve">The program provides each student with a supportive educational curriculum that tries to limit class size, formulate an educational program for each individual student, and provide Child Study Team and other community resources. </w:t>
      </w:r>
    </w:p>
    <w:p w14:paraId="4ADD8B6D" w14:textId="77777777" w:rsidR="008E31DD" w:rsidRDefault="008E31DD" w:rsidP="008E31DD">
      <w:pPr>
        <w:pStyle w:val="BodyBullet"/>
        <w:numPr>
          <w:ilvl w:val="0"/>
          <w:numId w:val="1"/>
        </w:numPr>
        <w:spacing w:before="0" w:after="200"/>
        <w:ind w:left="374" w:hanging="187"/>
        <w:rPr>
          <w:sz w:val="20"/>
        </w:rPr>
      </w:pPr>
      <w:r w:rsidRPr="008E31DD">
        <w:rPr>
          <w:sz w:val="20"/>
        </w:rPr>
        <w:t>On-site childcare is also provided by trained “</w:t>
      </w:r>
      <w:proofErr w:type="spellStart"/>
      <w:r w:rsidRPr="008E31DD">
        <w:rPr>
          <w:sz w:val="20"/>
        </w:rPr>
        <w:t>educares</w:t>
      </w:r>
      <w:proofErr w:type="spellEnd"/>
      <w:r w:rsidRPr="008E31DD">
        <w:rPr>
          <w:sz w:val="20"/>
        </w:rPr>
        <w:t>” for infants six weeks to two-and-a-half years of age.</w:t>
      </w:r>
    </w:p>
    <w:p w14:paraId="303AA020" w14:textId="77777777" w:rsidR="008E31DD" w:rsidRPr="008E31DD" w:rsidRDefault="008E31DD" w:rsidP="008E31DD">
      <w:pPr>
        <w:pStyle w:val="FreeForm"/>
        <w:rPr>
          <w:b/>
          <w:u w:val="single"/>
        </w:rPr>
      </w:pPr>
      <w:r w:rsidRPr="008E31DD">
        <w:rPr>
          <w:b/>
          <w:u w:val="single"/>
        </w:rPr>
        <w:t>Carrera P.R.I.D.E. Program</w:t>
      </w:r>
    </w:p>
    <w:p w14:paraId="541DC90F" w14:textId="77777777" w:rsidR="008E31DD" w:rsidRPr="008E31DD" w:rsidRDefault="008E31DD" w:rsidP="008E31DD">
      <w:pPr>
        <w:pStyle w:val="FreeForm"/>
        <w:spacing w:after="120"/>
        <w:jc w:val="both"/>
        <w:rPr>
          <w:b/>
          <w:sz w:val="20"/>
        </w:rPr>
      </w:pPr>
      <w:r w:rsidRPr="008E31DD">
        <w:rPr>
          <w:sz w:val="20"/>
        </w:rPr>
        <w:t>Carrera P.R.I.D.E. is a pregnancy prevention after-school program, serving Bridgeton Public Schools, focused on increasing sexual literacy while at the same time encouraging students to avoid risky sexual behaviors and to focus on personal goals and a productive future.</w:t>
      </w:r>
      <w:r w:rsidRPr="008E31DD">
        <w:rPr>
          <w:sz w:val="20"/>
          <w:vertAlign w:val="superscript"/>
        </w:rPr>
        <w:endnoteReference w:id="13"/>
      </w:r>
    </w:p>
    <w:p w14:paraId="15B731B3" w14:textId="77777777" w:rsidR="008E31DD" w:rsidRPr="008E31DD" w:rsidRDefault="008E31DD" w:rsidP="008E31DD">
      <w:pPr>
        <w:pStyle w:val="BodyBullet"/>
        <w:numPr>
          <w:ilvl w:val="0"/>
          <w:numId w:val="1"/>
        </w:numPr>
        <w:spacing w:before="0" w:after="60"/>
        <w:ind w:left="374" w:hanging="187"/>
        <w:rPr>
          <w:sz w:val="20"/>
        </w:rPr>
      </w:pPr>
      <w:r w:rsidRPr="008E31DD">
        <w:rPr>
          <w:sz w:val="20"/>
        </w:rPr>
        <w:t xml:space="preserve">Carrera P.R.I.D.E. is sponsored by the </w:t>
      </w:r>
      <w:proofErr w:type="spellStart"/>
      <w:r w:rsidRPr="008E31DD">
        <w:rPr>
          <w:sz w:val="20"/>
        </w:rPr>
        <w:t>Inspira</w:t>
      </w:r>
      <w:proofErr w:type="spellEnd"/>
      <w:r w:rsidRPr="008E31DD">
        <w:rPr>
          <w:sz w:val="20"/>
        </w:rPr>
        <w:t xml:space="preserve"> Health Network, and meets five days a week after regular school hours, as well as some Saturdays, during the school year.  In addition, a yearly summer program is also offered. </w:t>
      </w:r>
    </w:p>
    <w:p w14:paraId="2FFA4D10" w14:textId="77777777" w:rsidR="008E31DD" w:rsidRPr="008E31DD" w:rsidRDefault="008E31DD" w:rsidP="008E31DD">
      <w:pPr>
        <w:pStyle w:val="BodyBullet"/>
        <w:numPr>
          <w:ilvl w:val="0"/>
          <w:numId w:val="1"/>
        </w:numPr>
        <w:spacing w:before="0" w:after="60"/>
        <w:ind w:left="374" w:hanging="187"/>
        <w:rPr>
          <w:sz w:val="20"/>
        </w:rPr>
      </w:pPr>
      <w:r w:rsidRPr="008E31DD">
        <w:rPr>
          <w:sz w:val="20"/>
        </w:rPr>
        <w:t>Carrera P.R.I.D.E. offers counseling and resources for students to focus on personal goals and self-improvement in areas such as homework, employment, mental health, family life, sexuality education, athletic sports, and different types of medical care.</w:t>
      </w:r>
    </w:p>
    <w:p w14:paraId="306B18A9" w14:textId="77777777" w:rsidR="008E31DD" w:rsidRPr="008E31DD" w:rsidRDefault="008E31DD" w:rsidP="008E31DD">
      <w:pPr>
        <w:pStyle w:val="BodyBullet"/>
        <w:spacing w:before="0" w:after="60"/>
        <w:rPr>
          <w:sz w:val="20"/>
        </w:rPr>
      </w:pPr>
    </w:p>
    <w:tbl>
      <w:tblPr>
        <w:tblW w:w="0" w:type="auto"/>
        <w:shd w:val="clear" w:color="auto" w:fill="B8CCE4" w:themeFill="accent1" w:themeFillTint="66"/>
        <w:tblLayout w:type="fixed"/>
        <w:tblLook w:val="0000" w:firstRow="0" w:lastRow="0" w:firstColumn="0" w:lastColumn="0" w:noHBand="0" w:noVBand="0"/>
      </w:tblPr>
      <w:tblGrid>
        <w:gridCol w:w="5613"/>
        <w:gridCol w:w="5086"/>
      </w:tblGrid>
      <w:tr w:rsidR="008E31DD" w:rsidRPr="002605F4" w14:paraId="11E30849" w14:textId="77777777" w:rsidTr="002605F4">
        <w:trPr>
          <w:cantSplit/>
          <w:trHeight w:val="465"/>
          <w:tblHeader/>
        </w:trPr>
        <w:tc>
          <w:tcPr>
            <w:tcW w:w="5613" w:type="dxa"/>
            <w:tcBorders>
              <w:top w:val="none" w:sz="8" w:space="0" w:color="000000"/>
              <w:left w:val="none" w:sz="8" w:space="0" w:color="000000"/>
              <w:bottom w:val="none" w:sz="8" w:space="0" w:color="000000"/>
              <w:right w:val="none" w:sz="8" w:space="0" w:color="000000"/>
            </w:tcBorders>
            <w:shd w:val="clear" w:color="auto" w:fill="B8CCE4" w:themeFill="accent1" w:themeFillTint="66"/>
            <w:tcMar>
              <w:top w:w="0" w:type="dxa"/>
              <w:left w:w="0" w:type="dxa"/>
              <w:bottom w:w="0" w:type="dxa"/>
              <w:right w:w="0" w:type="dxa"/>
            </w:tcMar>
            <w:vAlign w:val="center"/>
          </w:tcPr>
          <w:p w14:paraId="179DC791" w14:textId="24B6EAD7" w:rsidR="008E31DD" w:rsidRPr="002605F4" w:rsidRDefault="002605F4" w:rsidP="00456EED">
            <w:pPr>
              <w:pStyle w:val="FreeForm"/>
              <w:rPr>
                <w:rFonts w:asciiTheme="majorHAnsi" w:hAnsiTheme="majorHAnsi"/>
                <w:b/>
                <w:color w:val="auto"/>
              </w:rPr>
            </w:pPr>
            <w:r w:rsidRPr="002605F4">
              <w:rPr>
                <w:rFonts w:asciiTheme="majorHAnsi" w:hAnsiTheme="majorHAnsi"/>
                <w:b/>
                <w:color w:val="auto"/>
              </w:rPr>
              <w:t xml:space="preserve"> </w:t>
            </w:r>
            <w:r w:rsidR="008E31DD" w:rsidRPr="002605F4">
              <w:rPr>
                <w:rFonts w:asciiTheme="majorHAnsi" w:hAnsiTheme="majorHAnsi"/>
                <w:b/>
                <w:color w:val="auto"/>
              </w:rPr>
              <w:t>Key Organizations</w:t>
            </w:r>
          </w:p>
        </w:tc>
        <w:tc>
          <w:tcPr>
            <w:tcW w:w="5086" w:type="dxa"/>
            <w:tcBorders>
              <w:top w:val="none" w:sz="8" w:space="0" w:color="000000"/>
              <w:left w:val="none" w:sz="8" w:space="0" w:color="000000"/>
              <w:bottom w:val="none" w:sz="8" w:space="0" w:color="000000"/>
              <w:right w:val="none" w:sz="8" w:space="0" w:color="000000"/>
            </w:tcBorders>
            <w:shd w:val="clear" w:color="auto" w:fill="B8CCE4" w:themeFill="accent1" w:themeFillTint="66"/>
            <w:tcMar>
              <w:top w:w="0" w:type="dxa"/>
              <w:left w:w="0" w:type="dxa"/>
              <w:bottom w:w="0" w:type="dxa"/>
              <w:right w:w="0" w:type="dxa"/>
            </w:tcMar>
          </w:tcPr>
          <w:p w14:paraId="1AFDB3AF" w14:textId="77777777" w:rsidR="008E31DD" w:rsidRPr="002605F4" w:rsidRDefault="008E31DD" w:rsidP="00456EED">
            <w:pPr>
              <w:pStyle w:val="FreeForm"/>
              <w:rPr>
                <w:rFonts w:asciiTheme="majorHAnsi" w:hAnsiTheme="majorHAnsi"/>
                <w:color w:val="auto"/>
              </w:rPr>
            </w:pPr>
          </w:p>
        </w:tc>
      </w:tr>
      <w:tr w:rsidR="008E31DD" w:rsidRPr="002605F4" w14:paraId="3DE942FD" w14:textId="77777777" w:rsidTr="002605F4">
        <w:trPr>
          <w:cantSplit/>
          <w:trHeight w:val="3465"/>
        </w:trPr>
        <w:tc>
          <w:tcPr>
            <w:tcW w:w="5613" w:type="dxa"/>
            <w:tcBorders>
              <w:top w:val="none" w:sz="8" w:space="0" w:color="000000"/>
              <w:left w:val="none" w:sz="8" w:space="0" w:color="000000"/>
              <w:bottom w:val="none" w:sz="8" w:space="0" w:color="000000"/>
              <w:right w:val="none" w:sz="8" w:space="0" w:color="000000"/>
            </w:tcBorders>
            <w:shd w:val="clear" w:color="auto" w:fill="B8CCE4" w:themeFill="accent1" w:themeFillTint="66"/>
            <w:tcMar>
              <w:top w:w="0" w:type="dxa"/>
              <w:left w:w="0" w:type="dxa"/>
              <w:bottom w:w="0" w:type="dxa"/>
              <w:right w:w="0" w:type="dxa"/>
            </w:tcMar>
          </w:tcPr>
          <w:p w14:paraId="4DC1857A" w14:textId="77777777" w:rsidR="008E31DD" w:rsidRPr="002605F4" w:rsidRDefault="008E31DD" w:rsidP="008E31DD">
            <w:pPr>
              <w:pStyle w:val="BodyBulletA"/>
              <w:numPr>
                <w:ilvl w:val="0"/>
                <w:numId w:val="23"/>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position w:val="-2"/>
                <w:sz w:val="22"/>
              </w:rPr>
              <w:t>National Campaign to Prevent Teen Pregnancy and Unplanned Pregnancy</w:t>
            </w:r>
          </w:p>
          <w:p w14:paraId="142A7290" w14:textId="77777777" w:rsidR="008E31DD" w:rsidRPr="002605F4" w:rsidRDefault="008E31DD" w:rsidP="008E31DD">
            <w:pPr>
              <w:pStyle w:val="BodyBulletA"/>
              <w:numPr>
                <w:ilvl w:val="0"/>
                <w:numId w:val="23"/>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position w:val="-2"/>
                <w:sz w:val="22"/>
              </w:rPr>
              <w:t>United States Administration for Children and Families</w:t>
            </w:r>
          </w:p>
          <w:p w14:paraId="3B79BE9A" w14:textId="77777777" w:rsidR="008E31DD" w:rsidRPr="002605F4" w:rsidRDefault="008E31DD" w:rsidP="008E31DD">
            <w:pPr>
              <w:pStyle w:val="BodyBulletA"/>
              <w:numPr>
                <w:ilvl w:val="0"/>
                <w:numId w:val="23"/>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sz w:val="22"/>
              </w:rPr>
              <w:t>United States Department of Health and Human Services</w:t>
            </w:r>
          </w:p>
          <w:p w14:paraId="4891EDF1" w14:textId="77777777" w:rsidR="008E31DD" w:rsidRPr="002605F4" w:rsidRDefault="008E31DD" w:rsidP="008E31DD">
            <w:pPr>
              <w:pStyle w:val="BodyBulletA"/>
              <w:numPr>
                <w:ilvl w:val="1"/>
                <w:numId w:val="23"/>
              </w:numPr>
              <w:rPr>
                <w:rFonts w:asciiTheme="majorHAnsi" w:hAnsiTheme="majorHAnsi"/>
                <w:color w:val="auto"/>
                <w:position w:val="-2"/>
                <w:sz w:val="22"/>
              </w:rPr>
            </w:pPr>
            <w:r w:rsidRPr="002605F4">
              <w:rPr>
                <w:rFonts w:asciiTheme="majorHAnsi" w:hAnsiTheme="majorHAnsi"/>
                <w:color w:val="auto"/>
                <w:position w:val="-2"/>
                <w:sz w:val="22"/>
              </w:rPr>
              <w:t xml:space="preserve"> Office of Adolescent Health</w:t>
            </w:r>
          </w:p>
          <w:p w14:paraId="216201C8" w14:textId="77777777" w:rsidR="008E31DD" w:rsidRPr="002605F4" w:rsidRDefault="008E31DD" w:rsidP="008E31DD">
            <w:pPr>
              <w:pStyle w:val="BodyBulletA"/>
              <w:numPr>
                <w:ilvl w:val="0"/>
                <w:numId w:val="24"/>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sz w:val="22"/>
              </w:rPr>
              <w:t>United States Department of Education</w:t>
            </w:r>
          </w:p>
          <w:p w14:paraId="47EB1738" w14:textId="77777777" w:rsidR="008E31DD" w:rsidRPr="002605F4" w:rsidRDefault="008E31DD" w:rsidP="008E31DD">
            <w:pPr>
              <w:pStyle w:val="BodyBulletA"/>
              <w:numPr>
                <w:ilvl w:val="0"/>
                <w:numId w:val="24"/>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sz w:val="22"/>
              </w:rPr>
              <w:t>New Jersey Department of Health and Senior Services</w:t>
            </w:r>
          </w:p>
          <w:p w14:paraId="20E696B6" w14:textId="77777777" w:rsidR="008E31DD" w:rsidRPr="002605F4" w:rsidRDefault="008E31DD" w:rsidP="008E31DD">
            <w:pPr>
              <w:pStyle w:val="BodyBulletA"/>
              <w:numPr>
                <w:ilvl w:val="0"/>
                <w:numId w:val="26"/>
              </w:numPr>
              <w:tabs>
                <w:tab w:val="clear" w:pos="180"/>
                <w:tab w:val="num" w:pos="360"/>
              </w:tabs>
              <w:ind w:left="360" w:hanging="180"/>
              <w:rPr>
                <w:rFonts w:asciiTheme="majorHAnsi" w:hAnsiTheme="majorHAnsi"/>
                <w:color w:val="auto"/>
                <w:sz w:val="22"/>
              </w:rPr>
            </w:pPr>
            <w:r w:rsidRPr="002605F4">
              <w:rPr>
                <w:rFonts w:asciiTheme="majorHAnsi" w:hAnsiTheme="majorHAnsi"/>
                <w:color w:val="auto"/>
                <w:sz w:val="22"/>
              </w:rPr>
              <w:t>New Jersey Department of Education</w:t>
            </w:r>
          </w:p>
          <w:p w14:paraId="49309603" w14:textId="77777777" w:rsidR="008E31DD" w:rsidRPr="002605F4" w:rsidRDefault="008E31DD" w:rsidP="008E31DD">
            <w:pPr>
              <w:pStyle w:val="BodyBulletA"/>
              <w:numPr>
                <w:ilvl w:val="0"/>
                <w:numId w:val="26"/>
              </w:numPr>
              <w:tabs>
                <w:tab w:val="clear" w:pos="180"/>
                <w:tab w:val="num" w:pos="360"/>
              </w:tabs>
              <w:ind w:left="360" w:hanging="180"/>
              <w:rPr>
                <w:rFonts w:asciiTheme="majorHAnsi" w:hAnsiTheme="majorHAnsi"/>
                <w:color w:val="auto"/>
                <w:sz w:val="22"/>
              </w:rPr>
            </w:pPr>
            <w:r w:rsidRPr="002605F4">
              <w:rPr>
                <w:rFonts w:asciiTheme="majorHAnsi" w:hAnsiTheme="majorHAnsi"/>
                <w:color w:val="auto"/>
                <w:sz w:val="22"/>
              </w:rPr>
              <w:t>Mercer County Human Services</w:t>
            </w:r>
          </w:p>
        </w:tc>
        <w:tc>
          <w:tcPr>
            <w:tcW w:w="5086" w:type="dxa"/>
            <w:tcBorders>
              <w:top w:val="none" w:sz="8" w:space="0" w:color="000000"/>
              <w:left w:val="none" w:sz="8" w:space="0" w:color="000000"/>
              <w:bottom w:val="none" w:sz="8" w:space="0" w:color="000000"/>
              <w:right w:val="none" w:sz="8" w:space="0" w:color="000000"/>
            </w:tcBorders>
            <w:shd w:val="clear" w:color="auto" w:fill="B8CCE4" w:themeFill="accent1" w:themeFillTint="66"/>
            <w:tcMar>
              <w:top w:w="0" w:type="dxa"/>
              <w:left w:w="0" w:type="dxa"/>
              <w:bottom w:w="0" w:type="dxa"/>
              <w:right w:w="0" w:type="dxa"/>
            </w:tcMar>
          </w:tcPr>
          <w:p w14:paraId="67F7DF62"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sz w:val="22"/>
              </w:rPr>
            </w:pPr>
            <w:r w:rsidRPr="002605F4">
              <w:rPr>
                <w:rFonts w:asciiTheme="majorHAnsi" w:hAnsiTheme="majorHAnsi"/>
                <w:color w:val="auto"/>
                <w:sz w:val="22"/>
              </w:rPr>
              <w:t>Mercer County Youth Services Commission</w:t>
            </w:r>
          </w:p>
          <w:p w14:paraId="2B419AD4"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sz w:val="22"/>
              </w:rPr>
            </w:pPr>
            <w:r w:rsidRPr="002605F4">
              <w:rPr>
                <w:rFonts w:asciiTheme="majorHAnsi" w:hAnsiTheme="majorHAnsi"/>
                <w:color w:val="auto"/>
                <w:sz w:val="22"/>
              </w:rPr>
              <w:t>Mercer County Community College, Career Training Institute</w:t>
            </w:r>
          </w:p>
          <w:p w14:paraId="0EDD83E5"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sz w:val="22"/>
              </w:rPr>
            </w:pPr>
            <w:r w:rsidRPr="002605F4">
              <w:rPr>
                <w:rFonts w:asciiTheme="majorHAnsi" w:hAnsiTheme="majorHAnsi"/>
                <w:color w:val="auto"/>
                <w:sz w:val="22"/>
              </w:rPr>
              <w:t>Planned Parenthood of Mercer County</w:t>
            </w:r>
          </w:p>
          <w:p w14:paraId="6319A99A"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sz w:val="22"/>
              </w:rPr>
            </w:pPr>
            <w:proofErr w:type="spellStart"/>
            <w:r w:rsidRPr="002605F4">
              <w:rPr>
                <w:rFonts w:asciiTheme="majorHAnsi" w:hAnsiTheme="majorHAnsi"/>
                <w:color w:val="auto"/>
                <w:sz w:val="22"/>
              </w:rPr>
              <w:t>HiTOPS</w:t>
            </w:r>
            <w:proofErr w:type="spellEnd"/>
            <w:r w:rsidRPr="002605F4">
              <w:rPr>
                <w:rFonts w:asciiTheme="majorHAnsi" w:hAnsiTheme="majorHAnsi"/>
                <w:color w:val="auto"/>
                <w:sz w:val="22"/>
              </w:rPr>
              <w:t>, Inc.</w:t>
            </w:r>
          </w:p>
          <w:p w14:paraId="6A8C68BC"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sz w:val="22"/>
              </w:rPr>
            </w:pPr>
            <w:r w:rsidRPr="002605F4">
              <w:rPr>
                <w:rFonts w:asciiTheme="majorHAnsi" w:hAnsiTheme="majorHAnsi"/>
                <w:color w:val="auto"/>
                <w:sz w:val="22"/>
              </w:rPr>
              <w:t>Isles Youth Institute</w:t>
            </w:r>
          </w:p>
          <w:p w14:paraId="279AF4CD"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sz w:val="22"/>
              </w:rPr>
              <w:t xml:space="preserve">NJ </w:t>
            </w:r>
            <w:proofErr w:type="spellStart"/>
            <w:r w:rsidRPr="002605F4">
              <w:rPr>
                <w:rFonts w:asciiTheme="majorHAnsi" w:hAnsiTheme="majorHAnsi"/>
                <w:color w:val="auto"/>
                <w:sz w:val="22"/>
              </w:rPr>
              <w:t>YouthCorps</w:t>
            </w:r>
            <w:proofErr w:type="spellEnd"/>
            <w:r w:rsidRPr="002605F4">
              <w:rPr>
                <w:rFonts w:asciiTheme="majorHAnsi" w:hAnsiTheme="majorHAnsi"/>
                <w:color w:val="auto"/>
                <w:sz w:val="22"/>
              </w:rPr>
              <w:t>, Trenton</w:t>
            </w:r>
          </w:p>
          <w:p w14:paraId="7EAE23A7"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sz w:val="22"/>
              </w:rPr>
              <w:t>Trenton Central High School Career Center</w:t>
            </w:r>
          </w:p>
          <w:p w14:paraId="799AACEF" w14:textId="77777777" w:rsidR="008E31DD" w:rsidRPr="002605F4" w:rsidRDefault="008E31DD" w:rsidP="008E31DD">
            <w:pPr>
              <w:pStyle w:val="BodyBulletA"/>
              <w:numPr>
                <w:ilvl w:val="0"/>
                <w:numId w:val="27"/>
              </w:numPr>
              <w:tabs>
                <w:tab w:val="clear" w:pos="180"/>
                <w:tab w:val="num" w:pos="360"/>
              </w:tabs>
              <w:ind w:left="360" w:hanging="180"/>
              <w:rPr>
                <w:rFonts w:asciiTheme="majorHAnsi" w:hAnsiTheme="majorHAnsi"/>
                <w:color w:val="auto"/>
                <w:position w:val="-2"/>
                <w:sz w:val="22"/>
              </w:rPr>
            </w:pPr>
            <w:r w:rsidRPr="002605F4">
              <w:rPr>
                <w:rFonts w:asciiTheme="majorHAnsi" w:hAnsiTheme="majorHAnsi"/>
                <w:color w:val="auto"/>
                <w:sz w:val="22"/>
              </w:rPr>
              <w:t>Trenton Department of Housing and Economic Development</w:t>
            </w:r>
          </w:p>
        </w:tc>
      </w:tr>
    </w:tbl>
    <w:p w14:paraId="38BBA89F" w14:textId="77777777" w:rsidR="00411812" w:rsidRDefault="00411812" w:rsidP="00411812">
      <w:pPr>
        <w:pStyle w:val="FreeForm"/>
        <w:spacing w:after="120"/>
        <w:jc w:val="both"/>
        <w:rPr>
          <w:sz w:val="20"/>
        </w:rPr>
      </w:pPr>
    </w:p>
    <w:p w14:paraId="5502A375" w14:textId="77777777" w:rsidR="00B12768" w:rsidRPr="00CA112B" w:rsidRDefault="007953AD" w:rsidP="00B82F28">
      <w:pPr>
        <w:pStyle w:val="Heading31"/>
        <w:spacing w:before="120" w:after="0"/>
      </w:pPr>
      <w:r w:rsidRPr="00CA112B">
        <w:t>Endnotes</w:t>
      </w:r>
    </w:p>
    <w:sectPr w:rsidR="00B12768" w:rsidRPr="00CA112B">
      <w:footerReference w:type="even" r:id="rId9"/>
      <w:footerReference w:type="default" r:id="rId10"/>
      <w:endnotePr>
        <w:numFmt w:val="decimal"/>
      </w:endnotePr>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8D23" w14:textId="77777777" w:rsidR="0002023A" w:rsidRDefault="0002023A" w:rsidP="007953AD">
      <w:r>
        <w:separator/>
      </w:r>
    </w:p>
  </w:endnote>
  <w:endnote w:type="continuationSeparator" w:id="0">
    <w:p w14:paraId="0D27A33B" w14:textId="77777777" w:rsidR="0002023A" w:rsidRDefault="0002023A" w:rsidP="007953AD">
      <w:r>
        <w:continuationSeparator/>
      </w:r>
    </w:p>
  </w:endnote>
  <w:endnote w:id="1">
    <w:p w14:paraId="061B5240" w14:textId="77777777" w:rsidR="0002023A" w:rsidRPr="002605F4" w:rsidRDefault="0002023A" w:rsidP="00503DB4">
      <w:pPr>
        <w:pStyle w:val="EndnoteText"/>
        <w:rPr>
          <w:rFonts w:asciiTheme="majorHAnsi" w:hAnsiTheme="majorHAnsi"/>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“Fact Sheet: Children of Teen Parents.” 2005. Center for Prevention and Early Intervention Project, </w:t>
      </w:r>
      <w:r w:rsidRPr="002605F4">
        <w:rPr>
          <w:rFonts w:asciiTheme="majorHAnsi" w:hAnsiTheme="majorHAnsi"/>
          <w:i/>
          <w:sz w:val="16"/>
          <w:szCs w:val="16"/>
        </w:rPr>
        <w:t>Florida State University</w:t>
      </w:r>
      <w:r w:rsidRPr="002605F4">
        <w:rPr>
          <w:rFonts w:asciiTheme="majorHAnsi" w:hAnsiTheme="majorHAnsi"/>
          <w:sz w:val="16"/>
          <w:szCs w:val="16"/>
        </w:rPr>
        <w:t xml:space="preserve">, </w:t>
      </w:r>
      <w:hyperlink r:id="rId1" w:history="1">
        <w:r w:rsidRPr="002605F4">
          <w:rPr>
            <w:rStyle w:val="Hyperlink"/>
            <w:rFonts w:asciiTheme="majorHAnsi" w:hAnsiTheme="majorHAnsi"/>
            <w:sz w:val="16"/>
            <w:szCs w:val="16"/>
          </w:rPr>
          <w:t>http://www.cpeip.fsu.edu/resourceFiles/resourceFile_78.pdf</w:t>
        </w:r>
      </w:hyperlink>
      <w:r w:rsidRPr="002605F4">
        <w:rPr>
          <w:rFonts w:asciiTheme="majorHAnsi" w:hAnsiTheme="majorHAnsi"/>
          <w:sz w:val="16"/>
          <w:szCs w:val="16"/>
        </w:rPr>
        <w:t>.</w:t>
      </w:r>
    </w:p>
  </w:endnote>
  <w:endnote w:id="2">
    <w:p w14:paraId="612F0284" w14:textId="77777777" w:rsidR="0002023A" w:rsidRPr="002605F4" w:rsidRDefault="0002023A" w:rsidP="00503DB4">
      <w:pPr>
        <w:pStyle w:val="EndnoteText"/>
        <w:rPr>
          <w:rFonts w:asciiTheme="majorHAnsi" w:hAnsiTheme="majorHAnsi"/>
          <w:sz w:val="16"/>
          <w:szCs w:val="16"/>
        </w:rPr>
      </w:pPr>
      <w:r w:rsidRPr="002605F4">
        <w:rPr>
          <w:rStyle w:val="EndnoteReference"/>
          <w:rFonts w:asciiTheme="majorHAnsi" w:hAnsiTheme="majorHAnsi"/>
          <w:sz w:val="16"/>
          <w:szCs w:val="16"/>
          <w:vertAlign w:val="baseline"/>
        </w:rPr>
        <w:endnoteRef/>
      </w:r>
      <w:r w:rsidRPr="002605F4">
        <w:rPr>
          <w:rFonts w:asciiTheme="majorHAnsi" w:hAnsiTheme="majorHAnsi"/>
          <w:sz w:val="16"/>
          <w:szCs w:val="16"/>
        </w:rPr>
        <w:t xml:space="preserve"> “New Jersey Adolescent Reproductive Health Facts.” Department of Health and Human Services, </w:t>
      </w:r>
      <w:r w:rsidRPr="002605F4">
        <w:rPr>
          <w:rFonts w:asciiTheme="majorHAnsi" w:hAnsiTheme="majorHAnsi"/>
          <w:i/>
          <w:sz w:val="16"/>
          <w:szCs w:val="16"/>
        </w:rPr>
        <w:t>State of New Jersey</w:t>
      </w:r>
      <w:r w:rsidRPr="002605F4">
        <w:rPr>
          <w:rFonts w:asciiTheme="majorHAnsi" w:hAnsiTheme="majorHAnsi"/>
          <w:sz w:val="16"/>
          <w:szCs w:val="16"/>
        </w:rPr>
        <w:t xml:space="preserve">, </w:t>
      </w:r>
      <w:hyperlink r:id="rId2" w:history="1">
        <w:r w:rsidRPr="002605F4">
          <w:rPr>
            <w:rStyle w:val="Hyperlink"/>
            <w:rFonts w:asciiTheme="majorHAnsi" w:hAnsiTheme="majorHAnsi"/>
            <w:sz w:val="16"/>
            <w:szCs w:val="16"/>
          </w:rPr>
          <w:t>http://www.hhs.gov/ash/oah/adolescent-health-topics/reproductive-health/states/nj.html</w:t>
        </w:r>
      </w:hyperlink>
      <w:r w:rsidRPr="002605F4">
        <w:rPr>
          <w:rFonts w:asciiTheme="majorHAnsi" w:hAnsiTheme="majorHAnsi"/>
          <w:sz w:val="16"/>
          <w:szCs w:val="16"/>
        </w:rPr>
        <w:t xml:space="preserve">. </w:t>
      </w:r>
    </w:p>
  </w:endnote>
  <w:endnote w:id="3">
    <w:p w14:paraId="638074AB" w14:textId="77777777" w:rsidR="0002023A" w:rsidRPr="002605F4" w:rsidRDefault="0002023A" w:rsidP="00503DB4">
      <w:pPr>
        <w:pStyle w:val="EndnoteText"/>
        <w:rPr>
          <w:rFonts w:asciiTheme="majorHAnsi" w:hAnsiTheme="majorHAnsi"/>
          <w:sz w:val="16"/>
          <w:szCs w:val="16"/>
        </w:rPr>
      </w:pPr>
      <w:r w:rsidRPr="002605F4">
        <w:rPr>
          <w:rStyle w:val="EndnoteReference"/>
          <w:rFonts w:asciiTheme="majorHAnsi" w:hAnsiTheme="majorHAnsi"/>
          <w:sz w:val="16"/>
          <w:szCs w:val="16"/>
          <w:vertAlign w:val="baseline"/>
        </w:rPr>
        <w:endnoteRef/>
      </w:r>
      <w:r w:rsidRPr="002605F4">
        <w:rPr>
          <w:rFonts w:asciiTheme="majorHAnsi" w:hAnsiTheme="majorHAnsi"/>
          <w:sz w:val="16"/>
          <w:szCs w:val="16"/>
        </w:rPr>
        <w:t xml:space="preserve"> “Mercer County, NJ Community Health Assessment Report.” July 2012. </w:t>
      </w:r>
      <w:r w:rsidRPr="002605F4">
        <w:rPr>
          <w:rFonts w:asciiTheme="majorHAnsi" w:hAnsiTheme="majorHAnsi"/>
          <w:i/>
          <w:sz w:val="16"/>
          <w:szCs w:val="16"/>
        </w:rPr>
        <w:t>Greater Mercer Public Health Partnership</w:t>
      </w:r>
      <w:r w:rsidRPr="002605F4">
        <w:rPr>
          <w:rFonts w:asciiTheme="majorHAnsi" w:hAnsiTheme="majorHAnsi"/>
          <w:sz w:val="16"/>
          <w:szCs w:val="16"/>
        </w:rPr>
        <w:t xml:space="preserve">, </w:t>
      </w:r>
      <w:hyperlink r:id="rId3" w:history="1">
        <w:r w:rsidRPr="002605F4">
          <w:rPr>
            <w:rStyle w:val="Hyperlink"/>
            <w:rFonts w:asciiTheme="majorHAnsi" w:hAnsiTheme="majorHAnsi"/>
            <w:sz w:val="16"/>
            <w:szCs w:val="16"/>
          </w:rPr>
          <w:t>http://www.uwgmc.org/sites/uwgmc.org/files/Final_Mercer_CHAReport_July122012.pdf</w:t>
        </w:r>
      </w:hyperlink>
      <w:r w:rsidRPr="002605F4">
        <w:rPr>
          <w:rFonts w:asciiTheme="majorHAnsi" w:hAnsiTheme="majorHAnsi"/>
          <w:sz w:val="16"/>
          <w:szCs w:val="16"/>
        </w:rPr>
        <w:t xml:space="preserve">. </w:t>
      </w:r>
    </w:p>
  </w:endnote>
  <w:endnote w:id="4">
    <w:p w14:paraId="5208A17B" w14:textId="77777777" w:rsidR="0002023A" w:rsidRPr="002605F4" w:rsidRDefault="0002023A" w:rsidP="00503DB4">
      <w:pPr>
        <w:pStyle w:val="EndnoteText"/>
        <w:rPr>
          <w:rFonts w:asciiTheme="majorHAnsi" w:hAnsiTheme="majorHAnsi"/>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“Fact Sheet: Teen Pregnancy.” 2011. </w:t>
      </w:r>
      <w:proofErr w:type="spellStart"/>
      <w:r w:rsidRPr="002605F4">
        <w:rPr>
          <w:rFonts w:asciiTheme="majorHAnsi" w:hAnsiTheme="majorHAnsi"/>
          <w:sz w:val="16"/>
          <w:szCs w:val="16"/>
        </w:rPr>
        <w:t>HiTOPS</w:t>
      </w:r>
      <w:proofErr w:type="spellEnd"/>
      <w:r w:rsidRPr="002605F4">
        <w:rPr>
          <w:rFonts w:asciiTheme="majorHAnsi" w:hAnsiTheme="majorHAnsi"/>
          <w:sz w:val="16"/>
          <w:szCs w:val="16"/>
        </w:rPr>
        <w:t>.</w:t>
      </w:r>
    </w:p>
  </w:endnote>
  <w:endnote w:id="5">
    <w:p w14:paraId="3027D1F6" w14:textId="77777777" w:rsidR="0002023A" w:rsidRPr="002605F4" w:rsidRDefault="0002023A" w:rsidP="00503DB4">
      <w:pPr>
        <w:pStyle w:val="EndnoteText"/>
        <w:rPr>
          <w:rFonts w:asciiTheme="majorHAnsi" w:hAnsiTheme="majorHAnsi"/>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“Mercer County, NJ Community Health Assessment Repot.”</w:t>
      </w:r>
    </w:p>
  </w:endnote>
  <w:endnote w:id="6">
    <w:p w14:paraId="02AEA1E3" w14:textId="77777777" w:rsidR="0002023A" w:rsidRPr="002605F4" w:rsidRDefault="0002023A" w:rsidP="00503DB4">
      <w:pPr>
        <w:pStyle w:val="EndnoteText"/>
        <w:rPr>
          <w:rFonts w:asciiTheme="majorHAnsi" w:hAnsiTheme="majorHAnsi"/>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Gibson, Sandy. June 2012. “Shaping the Future: Women and Girls in Central New Jersey.” Fund for Women and Girls, </w:t>
      </w:r>
      <w:r w:rsidRPr="002605F4">
        <w:rPr>
          <w:rFonts w:asciiTheme="majorHAnsi" w:hAnsiTheme="majorHAnsi"/>
          <w:i/>
          <w:sz w:val="16"/>
          <w:szCs w:val="16"/>
        </w:rPr>
        <w:t>Princeton Area Community Foundation</w:t>
      </w:r>
      <w:r w:rsidRPr="002605F4">
        <w:rPr>
          <w:rFonts w:asciiTheme="majorHAnsi" w:hAnsiTheme="majorHAnsi"/>
          <w:sz w:val="16"/>
          <w:szCs w:val="16"/>
        </w:rPr>
        <w:t xml:space="preserve">, </w:t>
      </w:r>
      <w:hyperlink r:id="rId4" w:history="1">
        <w:r w:rsidRPr="002605F4">
          <w:rPr>
            <w:rStyle w:val="Hyperlink"/>
            <w:rFonts w:asciiTheme="majorHAnsi" w:hAnsiTheme="majorHAnsi"/>
            <w:sz w:val="16"/>
            <w:szCs w:val="16"/>
          </w:rPr>
          <w:t>http://pacf.org/wp-content/uploads/Shapingthefuture.pdf</w:t>
        </w:r>
      </w:hyperlink>
      <w:r w:rsidRPr="002605F4">
        <w:rPr>
          <w:rFonts w:asciiTheme="majorHAnsi" w:hAnsiTheme="majorHAnsi"/>
          <w:sz w:val="16"/>
          <w:szCs w:val="16"/>
        </w:rPr>
        <w:t xml:space="preserve">. </w:t>
      </w:r>
    </w:p>
  </w:endnote>
  <w:endnote w:id="7">
    <w:p w14:paraId="00853AF0" w14:textId="77777777" w:rsidR="0002023A" w:rsidRPr="002605F4" w:rsidRDefault="0002023A" w:rsidP="0002023A">
      <w:pPr>
        <w:pStyle w:val="EndnoteText"/>
        <w:rPr>
          <w:rFonts w:asciiTheme="majorHAnsi" w:hAnsiTheme="majorHAnsi" w:cs="Times"/>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“Teenage Pregnancy Prevention: Statistics and Programs.” June 2013. </w:t>
      </w:r>
      <w:r w:rsidRPr="002605F4">
        <w:rPr>
          <w:rFonts w:asciiTheme="majorHAnsi" w:hAnsiTheme="majorHAnsi"/>
          <w:i/>
          <w:sz w:val="16"/>
          <w:szCs w:val="16"/>
        </w:rPr>
        <w:t>Congressional Research Service</w:t>
      </w:r>
      <w:r w:rsidRPr="002605F4">
        <w:rPr>
          <w:rFonts w:asciiTheme="majorHAnsi" w:hAnsiTheme="majorHAnsi"/>
          <w:sz w:val="16"/>
          <w:szCs w:val="16"/>
        </w:rPr>
        <w:t xml:space="preserve">, </w:t>
      </w:r>
      <w:hyperlink r:id="rId5" w:history="1">
        <w:r w:rsidRPr="002605F4">
          <w:rPr>
            <w:rStyle w:val="Hyperlink"/>
            <w:rFonts w:asciiTheme="majorHAnsi" w:hAnsiTheme="majorHAnsi"/>
            <w:sz w:val="16"/>
            <w:szCs w:val="16"/>
          </w:rPr>
          <w:t>http://www.fas.org/sgp/crs/misc/RS20301.pdf</w:t>
        </w:r>
      </w:hyperlink>
      <w:r w:rsidRPr="002605F4">
        <w:rPr>
          <w:rFonts w:asciiTheme="majorHAnsi" w:hAnsiTheme="majorHAnsi"/>
          <w:sz w:val="16"/>
          <w:szCs w:val="16"/>
        </w:rPr>
        <w:t xml:space="preserve">. </w:t>
      </w:r>
    </w:p>
  </w:endnote>
  <w:endnote w:id="8">
    <w:p w14:paraId="1232C8E2" w14:textId="77777777" w:rsidR="0002023A" w:rsidRPr="002605F4" w:rsidRDefault="0002023A" w:rsidP="0002023A">
      <w:pPr>
        <w:pStyle w:val="EndnoteText"/>
        <w:rPr>
          <w:rFonts w:asciiTheme="majorHAnsi" w:hAnsiTheme="majorHAnsi"/>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“National Sexuality Education Standards: Core Content and Skills, K-12.” 2011. </w:t>
      </w:r>
      <w:r w:rsidRPr="002605F4">
        <w:rPr>
          <w:rFonts w:asciiTheme="majorHAnsi" w:hAnsiTheme="majorHAnsi"/>
          <w:i/>
          <w:sz w:val="16"/>
          <w:szCs w:val="16"/>
        </w:rPr>
        <w:t>Future of Sex Education</w:t>
      </w:r>
      <w:r w:rsidRPr="002605F4">
        <w:rPr>
          <w:rFonts w:asciiTheme="majorHAnsi" w:hAnsiTheme="majorHAnsi"/>
          <w:sz w:val="16"/>
          <w:szCs w:val="16"/>
        </w:rPr>
        <w:t xml:space="preserve">, </w:t>
      </w:r>
      <w:hyperlink r:id="rId6" w:history="1">
        <w:r w:rsidRPr="002605F4">
          <w:rPr>
            <w:rStyle w:val="Hyperlink"/>
            <w:rFonts w:asciiTheme="majorHAnsi" w:hAnsiTheme="majorHAnsi"/>
            <w:sz w:val="16"/>
            <w:szCs w:val="16"/>
          </w:rPr>
          <w:t>http://www.futureofsexed.org/documents/josh-fose-standards-web.pdf</w:t>
        </w:r>
      </w:hyperlink>
      <w:r w:rsidRPr="002605F4">
        <w:rPr>
          <w:rFonts w:asciiTheme="majorHAnsi" w:hAnsiTheme="majorHAnsi"/>
          <w:sz w:val="16"/>
          <w:szCs w:val="16"/>
        </w:rPr>
        <w:t xml:space="preserve">. </w:t>
      </w:r>
    </w:p>
  </w:endnote>
  <w:endnote w:id="9">
    <w:p w14:paraId="41513959" w14:textId="77777777" w:rsidR="0002023A" w:rsidRPr="002605F4" w:rsidRDefault="0002023A" w:rsidP="0002023A">
      <w:pPr>
        <w:pStyle w:val="EndnoteText"/>
        <w:rPr>
          <w:rFonts w:asciiTheme="majorHAnsi" w:hAnsiTheme="majorHAnsi"/>
          <w:sz w:val="16"/>
          <w:szCs w:val="16"/>
        </w:rPr>
      </w:pPr>
      <w:r w:rsidRPr="002605F4">
        <w:rPr>
          <w:rStyle w:val="EndnoteReference"/>
          <w:rFonts w:asciiTheme="majorHAnsi" w:hAnsiTheme="majorHAnsi"/>
          <w:sz w:val="16"/>
          <w:szCs w:val="16"/>
          <w:vertAlign w:val="baseline"/>
        </w:rPr>
        <w:endnoteRef/>
      </w:r>
      <w:r w:rsidRPr="002605F4">
        <w:rPr>
          <w:rFonts w:asciiTheme="majorHAnsi" w:hAnsiTheme="majorHAnsi"/>
          <w:sz w:val="16"/>
          <w:szCs w:val="16"/>
        </w:rPr>
        <w:t xml:space="preserve"> “New Jersey State Profile Fiscal Year 2009.” </w:t>
      </w:r>
      <w:r w:rsidRPr="002605F4">
        <w:rPr>
          <w:rFonts w:asciiTheme="majorHAnsi" w:hAnsiTheme="majorHAnsi"/>
          <w:i/>
          <w:sz w:val="16"/>
          <w:szCs w:val="16"/>
        </w:rPr>
        <w:t>Sexuality Information and Education Council of the United States</w:t>
      </w:r>
      <w:r w:rsidRPr="002605F4">
        <w:rPr>
          <w:rFonts w:asciiTheme="majorHAnsi" w:hAnsiTheme="majorHAnsi"/>
          <w:sz w:val="16"/>
          <w:szCs w:val="16"/>
        </w:rPr>
        <w:t xml:space="preserve">, </w:t>
      </w:r>
      <w:hyperlink r:id="rId7" w:history="1">
        <w:r w:rsidRPr="002605F4">
          <w:rPr>
            <w:rStyle w:val="Hyperlink"/>
            <w:rFonts w:asciiTheme="majorHAnsi" w:hAnsiTheme="majorHAnsi"/>
            <w:sz w:val="16"/>
            <w:szCs w:val="16"/>
          </w:rPr>
          <w:t>http://www.siecus.org/index.cfm?fuseaction=Page.ViewPage&amp;PageID=1234</w:t>
        </w:r>
      </w:hyperlink>
      <w:r w:rsidRPr="002605F4">
        <w:rPr>
          <w:rFonts w:asciiTheme="majorHAnsi" w:hAnsiTheme="majorHAnsi"/>
          <w:sz w:val="16"/>
          <w:szCs w:val="16"/>
        </w:rPr>
        <w:t xml:space="preserve">. </w:t>
      </w:r>
    </w:p>
  </w:endnote>
  <w:endnote w:id="10">
    <w:p w14:paraId="6411DB56" w14:textId="77777777" w:rsidR="0002023A" w:rsidRPr="002605F4" w:rsidRDefault="0002023A" w:rsidP="0002023A">
      <w:pPr>
        <w:pStyle w:val="EndnoteText"/>
        <w:rPr>
          <w:rFonts w:asciiTheme="majorHAnsi" w:hAnsiTheme="majorHAnsi"/>
          <w:sz w:val="16"/>
          <w:szCs w:val="16"/>
        </w:rPr>
      </w:pPr>
      <w:r w:rsidRPr="002605F4">
        <w:rPr>
          <w:rStyle w:val="EndnoteReference"/>
          <w:rFonts w:asciiTheme="majorHAnsi" w:hAnsiTheme="majorHAnsi"/>
          <w:sz w:val="16"/>
          <w:szCs w:val="16"/>
          <w:vertAlign w:val="baseline"/>
        </w:rPr>
        <w:endnoteRef/>
      </w:r>
      <w:r w:rsidRPr="002605F4">
        <w:rPr>
          <w:rFonts w:asciiTheme="majorHAnsi" w:hAnsiTheme="majorHAnsi"/>
          <w:sz w:val="16"/>
          <w:szCs w:val="16"/>
        </w:rPr>
        <w:t xml:space="preserve"> “New Jersey State Profile Fiscal Year 2009.” </w:t>
      </w:r>
    </w:p>
  </w:endnote>
  <w:endnote w:id="11">
    <w:p w14:paraId="1C1853A7" w14:textId="77777777" w:rsidR="0002023A" w:rsidRPr="002605F4" w:rsidRDefault="0002023A" w:rsidP="0002023A">
      <w:pPr>
        <w:pStyle w:val="EndnoteText"/>
        <w:rPr>
          <w:rFonts w:asciiTheme="majorHAnsi" w:hAnsiTheme="majorHAnsi"/>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“Capable Adolescent Mothers.” 2013. </w:t>
      </w:r>
      <w:r w:rsidRPr="002605F4">
        <w:rPr>
          <w:rFonts w:asciiTheme="majorHAnsi" w:hAnsiTheme="majorHAnsi"/>
          <w:i/>
          <w:sz w:val="16"/>
          <w:szCs w:val="16"/>
        </w:rPr>
        <w:t>Crossroad Programs</w:t>
      </w:r>
      <w:r w:rsidRPr="002605F4">
        <w:rPr>
          <w:rFonts w:asciiTheme="majorHAnsi" w:hAnsiTheme="majorHAnsi"/>
          <w:sz w:val="16"/>
          <w:szCs w:val="16"/>
        </w:rPr>
        <w:t xml:space="preserve">, </w:t>
      </w:r>
      <w:hyperlink r:id="rId8" w:history="1">
        <w:r w:rsidRPr="002605F4">
          <w:rPr>
            <w:rStyle w:val="Hyperlink"/>
            <w:rFonts w:asciiTheme="majorHAnsi" w:hAnsiTheme="majorHAnsi"/>
            <w:sz w:val="16"/>
            <w:szCs w:val="16"/>
          </w:rPr>
          <w:t>http://www.crossroadsprograms.org/who_we_serve/capable_adolescent_mothers.html</w:t>
        </w:r>
      </w:hyperlink>
      <w:r w:rsidRPr="002605F4">
        <w:rPr>
          <w:rFonts w:asciiTheme="majorHAnsi" w:hAnsiTheme="majorHAnsi"/>
          <w:sz w:val="16"/>
          <w:szCs w:val="16"/>
        </w:rPr>
        <w:t>.</w:t>
      </w:r>
    </w:p>
  </w:endnote>
  <w:endnote w:id="12">
    <w:p w14:paraId="6C4DE63D" w14:textId="77777777" w:rsidR="008E31DD" w:rsidRPr="002605F4" w:rsidRDefault="008E31DD" w:rsidP="008E31DD">
      <w:pPr>
        <w:pStyle w:val="EndnoteText"/>
        <w:rPr>
          <w:rFonts w:asciiTheme="majorHAnsi" w:hAnsiTheme="majorHAnsi"/>
          <w:sz w:val="16"/>
          <w:szCs w:val="16"/>
        </w:rPr>
      </w:pPr>
      <w:r w:rsidRPr="002605F4">
        <w:rPr>
          <w:rFonts w:asciiTheme="majorHAnsi" w:hAnsiTheme="majorHAnsi"/>
          <w:sz w:val="16"/>
          <w:szCs w:val="16"/>
        </w:rPr>
        <w:endnoteRef/>
      </w:r>
      <w:r w:rsidRPr="002605F4">
        <w:rPr>
          <w:rFonts w:asciiTheme="majorHAnsi" w:hAnsiTheme="majorHAnsi"/>
          <w:sz w:val="16"/>
          <w:szCs w:val="16"/>
        </w:rPr>
        <w:t xml:space="preserve"> “Project </w:t>
      </w:r>
      <w:proofErr w:type="gramStart"/>
      <w:r w:rsidRPr="002605F4">
        <w:rPr>
          <w:rFonts w:asciiTheme="majorHAnsi" w:hAnsiTheme="majorHAnsi"/>
          <w:sz w:val="16"/>
          <w:szCs w:val="16"/>
        </w:rPr>
        <w:t>TEACH</w:t>
      </w:r>
      <w:proofErr w:type="gramEnd"/>
      <w:r w:rsidRPr="002605F4">
        <w:rPr>
          <w:rFonts w:asciiTheme="majorHAnsi" w:hAnsiTheme="majorHAnsi"/>
          <w:sz w:val="16"/>
          <w:szCs w:val="16"/>
        </w:rPr>
        <w:t xml:space="preserve">.” 2013. </w:t>
      </w:r>
      <w:r w:rsidRPr="002605F4">
        <w:rPr>
          <w:rFonts w:asciiTheme="majorHAnsi" w:hAnsiTheme="majorHAnsi"/>
          <w:i/>
          <w:sz w:val="16"/>
          <w:szCs w:val="16"/>
        </w:rPr>
        <w:t>New Jersey Department for Children and Families</w:t>
      </w:r>
      <w:r w:rsidRPr="002605F4">
        <w:rPr>
          <w:rFonts w:asciiTheme="majorHAnsi" w:hAnsiTheme="majorHAnsi"/>
          <w:sz w:val="16"/>
          <w:szCs w:val="16"/>
        </w:rPr>
        <w:t xml:space="preserve">, </w:t>
      </w:r>
      <w:hyperlink r:id="rId9" w:history="1">
        <w:r w:rsidRPr="002605F4">
          <w:rPr>
            <w:rStyle w:val="Hyperlink"/>
            <w:rFonts w:asciiTheme="majorHAnsi" w:hAnsiTheme="majorHAnsi"/>
            <w:sz w:val="16"/>
            <w:szCs w:val="16"/>
          </w:rPr>
          <w:t>http://www.nj.gov/dcf/families/educational/teach/</w:t>
        </w:r>
      </w:hyperlink>
      <w:r w:rsidRPr="002605F4">
        <w:rPr>
          <w:rFonts w:asciiTheme="majorHAnsi" w:hAnsiTheme="majorHAnsi"/>
          <w:sz w:val="16"/>
          <w:szCs w:val="16"/>
        </w:rPr>
        <w:t>.</w:t>
      </w:r>
    </w:p>
  </w:endnote>
  <w:endnote w:id="13">
    <w:p w14:paraId="03869153" w14:textId="77777777" w:rsidR="008E31DD" w:rsidRPr="00444EF9" w:rsidRDefault="008E31DD" w:rsidP="008E31DD">
      <w:pPr>
        <w:pStyle w:val="EndnoteText"/>
      </w:pPr>
      <w:r w:rsidRPr="002605F4">
        <w:rPr>
          <w:rFonts w:asciiTheme="majorHAnsi" w:hAnsiTheme="majorHAnsi"/>
          <w:sz w:val="16"/>
          <w:szCs w:val="16"/>
        </w:rPr>
        <w:endnoteRef/>
      </w:r>
      <w:r w:rsidRPr="002605F4">
        <w:rPr>
          <w:rFonts w:asciiTheme="majorHAnsi" w:hAnsiTheme="majorHAnsi"/>
          <w:sz w:val="16"/>
          <w:szCs w:val="16"/>
        </w:rPr>
        <w:t xml:space="preserve"> “Adolescent Pregnancy Prevention Program.” 2013. </w:t>
      </w:r>
      <w:proofErr w:type="spellStart"/>
      <w:r w:rsidRPr="002605F4">
        <w:rPr>
          <w:rFonts w:asciiTheme="majorHAnsi" w:hAnsiTheme="majorHAnsi"/>
          <w:i/>
          <w:sz w:val="16"/>
          <w:szCs w:val="16"/>
        </w:rPr>
        <w:t>Inspira</w:t>
      </w:r>
      <w:proofErr w:type="spellEnd"/>
      <w:r w:rsidRPr="002605F4">
        <w:rPr>
          <w:rFonts w:asciiTheme="majorHAnsi" w:hAnsiTheme="majorHAnsi"/>
          <w:i/>
          <w:sz w:val="16"/>
          <w:szCs w:val="16"/>
        </w:rPr>
        <w:t xml:space="preserve"> Health Network</w:t>
      </w:r>
      <w:r w:rsidRPr="002605F4">
        <w:rPr>
          <w:rFonts w:asciiTheme="majorHAnsi" w:hAnsiTheme="majorHAnsi"/>
          <w:sz w:val="16"/>
          <w:szCs w:val="16"/>
        </w:rPr>
        <w:t xml:space="preserve">, </w:t>
      </w:r>
      <w:hyperlink r:id="rId10" w:history="1">
        <w:r w:rsidRPr="002605F4">
          <w:rPr>
            <w:rStyle w:val="Hyperlink"/>
            <w:rFonts w:asciiTheme="majorHAnsi" w:hAnsiTheme="majorHAnsi"/>
            <w:sz w:val="16"/>
            <w:szCs w:val="16"/>
          </w:rPr>
          <w:t>http://www.inspirahealthnetwork.org/?id=2259&amp;sid=1</w:t>
        </w:r>
      </w:hyperlink>
      <w:r w:rsidRPr="002605F4">
        <w:rPr>
          <w:rFonts w:asciiTheme="majorHAnsi" w:hAnsiTheme="maj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w:altName w:val="Arial"/>
    <w:panose1 w:val="020B0502020104020203"/>
    <w:charset w:val="00"/>
    <w:family w:val="auto"/>
    <w:pitch w:val="variable"/>
    <w:sig w:usb0="80000267" w:usb1="00000000" w:usb2="00000000" w:usb3="00000000" w:csb0="000001F7"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45 Light">
    <w:charset w:val="00"/>
    <w:family w:val="auto"/>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55B2" w14:textId="77777777" w:rsidR="0002023A" w:rsidRDefault="0002023A" w:rsidP="00FE5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F566C1" w14:textId="77777777" w:rsidR="0002023A" w:rsidRDefault="0002023A" w:rsidP="00FE51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EB40" w14:textId="77777777" w:rsidR="0002023A" w:rsidRPr="000E41BB" w:rsidRDefault="0002023A" w:rsidP="00FE5192">
    <w:pPr>
      <w:pStyle w:val="Footer"/>
      <w:framePr w:wrap="around" w:vAnchor="text" w:hAnchor="margin" w:xAlign="right" w:y="1"/>
      <w:rPr>
        <w:rStyle w:val="PageNumber"/>
        <w:rFonts w:asciiTheme="majorHAnsi" w:hAnsiTheme="majorHAnsi"/>
        <w:sz w:val="22"/>
        <w:szCs w:val="22"/>
      </w:rPr>
    </w:pPr>
    <w:r w:rsidRPr="000E41BB">
      <w:rPr>
        <w:rStyle w:val="PageNumber"/>
        <w:rFonts w:asciiTheme="majorHAnsi" w:hAnsiTheme="majorHAnsi"/>
        <w:sz w:val="22"/>
        <w:szCs w:val="22"/>
      </w:rPr>
      <w:fldChar w:fldCharType="begin"/>
    </w:r>
    <w:r w:rsidRPr="000E41BB">
      <w:rPr>
        <w:rStyle w:val="PageNumber"/>
        <w:rFonts w:asciiTheme="majorHAnsi" w:hAnsiTheme="majorHAnsi"/>
        <w:sz w:val="22"/>
        <w:szCs w:val="22"/>
      </w:rPr>
      <w:instrText xml:space="preserve">PAGE  </w:instrText>
    </w:r>
    <w:r w:rsidRPr="000E41BB">
      <w:rPr>
        <w:rStyle w:val="PageNumber"/>
        <w:rFonts w:asciiTheme="majorHAnsi" w:hAnsiTheme="majorHAnsi"/>
        <w:sz w:val="22"/>
        <w:szCs w:val="22"/>
      </w:rPr>
      <w:fldChar w:fldCharType="separate"/>
    </w:r>
    <w:r w:rsidR="002605F4">
      <w:rPr>
        <w:rStyle w:val="PageNumber"/>
        <w:rFonts w:asciiTheme="majorHAnsi" w:hAnsiTheme="majorHAnsi"/>
        <w:noProof/>
        <w:sz w:val="22"/>
        <w:szCs w:val="22"/>
      </w:rPr>
      <w:t>3</w:t>
    </w:r>
    <w:r w:rsidRPr="000E41BB">
      <w:rPr>
        <w:rStyle w:val="PageNumber"/>
        <w:rFonts w:asciiTheme="majorHAnsi" w:hAnsiTheme="majorHAnsi"/>
        <w:sz w:val="22"/>
        <w:szCs w:val="22"/>
      </w:rPr>
      <w:fldChar w:fldCharType="end"/>
    </w:r>
  </w:p>
  <w:p w14:paraId="6D2CE717" w14:textId="77777777" w:rsidR="0002023A" w:rsidRPr="000E41BB" w:rsidRDefault="0002023A" w:rsidP="00FE5192">
    <w:pPr>
      <w:pStyle w:val="Footer"/>
      <w:ind w:right="360"/>
      <w:rPr>
        <w:rFonts w:asciiTheme="majorHAnsi" w:hAnsiTheme="majorHAnsi"/>
        <w:sz w:val="20"/>
      </w:rPr>
    </w:pPr>
    <w:r>
      <w:rPr>
        <w:rFonts w:asciiTheme="majorHAnsi" w:hAnsiTheme="majorHAnsi"/>
        <w:sz w:val="20"/>
      </w:rPr>
      <w:t>October</w:t>
    </w:r>
    <w:r w:rsidRPr="000E41BB">
      <w:rPr>
        <w:rFonts w:asciiTheme="majorHAnsi" w:hAnsiTheme="majorHAnsi"/>
        <w:sz w:val="20"/>
      </w:rPr>
      <w:t xml:space="preserve"> </w:t>
    </w:r>
    <w:r>
      <w:rPr>
        <w:rFonts w:asciiTheme="majorHAnsi" w:hAnsiTheme="majorHAnsi"/>
        <w:sz w:val="20"/>
      </w:rPr>
      <w:t>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CA2C0" w14:textId="77777777" w:rsidR="0002023A" w:rsidRDefault="0002023A" w:rsidP="007953AD">
      <w:r>
        <w:separator/>
      </w:r>
    </w:p>
  </w:footnote>
  <w:footnote w:type="continuationSeparator" w:id="0">
    <w:p w14:paraId="24B1C2CD" w14:textId="77777777" w:rsidR="0002023A" w:rsidRDefault="0002023A" w:rsidP="007953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504"/>
      </w:pPr>
      <w:rPr>
        <w:rFonts w:hint="default"/>
        <w:position w:val="-2"/>
      </w:rPr>
    </w:lvl>
    <w:lvl w:ilvl="2">
      <w:start w:val="1"/>
      <w:numFmt w:val="bullet"/>
      <w:lvlText w:val="•"/>
      <w:lvlJc w:val="left"/>
      <w:pPr>
        <w:tabs>
          <w:tab w:val="num" w:pos="180"/>
        </w:tabs>
        <w:ind w:left="180" w:firstLine="18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bullet"/>
      <w:lvlText w:val="•"/>
      <w:lvlJc w:val="left"/>
      <w:pPr>
        <w:tabs>
          <w:tab w:val="num" w:pos="180"/>
        </w:tabs>
        <w:ind w:left="180" w:firstLine="180"/>
      </w:pPr>
      <w:rPr>
        <w:rFonts w:hint="default"/>
        <w:position w:val="-2"/>
      </w:rPr>
    </w:lvl>
    <w:lvl w:ilvl="1">
      <w:start w:val="1"/>
      <w:numFmt w:val="bullet"/>
      <w:lvlText w:val="•"/>
      <w:lvlJc w:val="left"/>
      <w:pPr>
        <w:tabs>
          <w:tab w:val="num" w:pos="180"/>
        </w:tabs>
        <w:ind w:left="180" w:firstLine="504"/>
      </w:pPr>
      <w:rPr>
        <w:rFonts w:hint="default"/>
        <w:position w:val="-2"/>
      </w:rPr>
    </w:lvl>
    <w:lvl w:ilvl="2">
      <w:start w:val="1"/>
      <w:numFmt w:val="bullet"/>
      <w:lvlText w:val="•"/>
      <w:lvlJc w:val="left"/>
      <w:pPr>
        <w:tabs>
          <w:tab w:val="num" w:pos="180"/>
        </w:tabs>
        <w:ind w:left="180" w:firstLine="18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bullet"/>
      <w:lvlText w:val="•"/>
      <w:lvlJc w:val="left"/>
      <w:pPr>
        <w:tabs>
          <w:tab w:val="num" w:pos="180"/>
        </w:tabs>
        <w:ind w:left="180" w:firstLine="180"/>
      </w:pPr>
      <w:rPr>
        <w:rFonts w:hint="default"/>
        <w:position w:val="-2"/>
      </w:rPr>
    </w:lvl>
    <w:lvl w:ilvl="1">
      <w:numFmt w:val="bullet"/>
      <w:lvlText w:val=""/>
      <w:lvlJc w:val="left"/>
      <w:pPr>
        <w:tabs>
          <w:tab w:val="num" w:pos="180"/>
        </w:tabs>
        <w:ind w:left="180" w:firstLine="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nsid w:val="00000005"/>
    <w:multiLevelType w:val="multilevel"/>
    <w:tmpl w:val="894EE877"/>
    <w:lvl w:ilvl="0">
      <w:numFmt w:val="bullet"/>
      <w:lvlText w:val="•"/>
      <w:lvlJc w:val="left"/>
      <w:pPr>
        <w:tabs>
          <w:tab w:val="num" w:pos="180"/>
        </w:tabs>
        <w:ind w:left="180" w:firstLine="180"/>
      </w:pPr>
      <w:rPr>
        <w:rFonts w:hint="default"/>
        <w:position w:val="-2"/>
      </w:rPr>
    </w:lvl>
    <w:lvl w:ilvl="1">
      <w:numFmt w:val="bullet"/>
      <w:lvlText w:val="•"/>
      <w:lvlJc w:val="left"/>
      <w:pPr>
        <w:tabs>
          <w:tab w:val="num" w:pos="180"/>
        </w:tabs>
        <w:ind w:left="180" w:firstLine="504"/>
      </w:pPr>
      <w:rPr>
        <w:rFonts w:hint="default"/>
        <w:position w:val="-2"/>
      </w:rPr>
    </w:lvl>
    <w:lvl w:ilvl="2">
      <w:start w:val="1"/>
      <w:numFmt w:val="bullet"/>
      <w:lvlText w:val="•"/>
      <w:lvlJc w:val="left"/>
      <w:pPr>
        <w:tabs>
          <w:tab w:val="num" w:pos="180"/>
        </w:tabs>
        <w:ind w:left="180" w:firstLine="18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
    <w:nsid w:val="00000006"/>
    <w:multiLevelType w:val="multilevel"/>
    <w:tmpl w:val="894EE878"/>
    <w:lvl w:ilvl="0">
      <w:numFmt w:val="bullet"/>
      <w:lvlText w:val=""/>
      <w:lvlJc w:val="left"/>
      <w:pPr>
        <w:tabs>
          <w:tab w:val="num" w:pos="180"/>
        </w:tabs>
        <w:ind w:left="18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bullet"/>
      <w:lvlText w:val="•"/>
      <w:lvlJc w:val="left"/>
      <w:pPr>
        <w:tabs>
          <w:tab w:val="num" w:pos="180"/>
        </w:tabs>
        <w:ind w:left="180" w:firstLine="180"/>
      </w:pPr>
      <w:rPr>
        <w:rFonts w:hint="default"/>
        <w:position w:val="-2"/>
      </w:rPr>
    </w:lvl>
    <w:lvl w:ilvl="1">
      <w:start w:val="1"/>
      <w:numFmt w:val="bullet"/>
      <w:lvlText w:val="•"/>
      <w:lvlJc w:val="left"/>
      <w:pPr>
        <w:tabs>
          <w:tab w:val="num" w:pos="180"/>
        </w:tabs>
        <w:ind w:left="180" w:firstLine="504"/>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9">
    <w:nsid w:val="0000000A"/>
    <w:multiLevelType w:val="multilevel"/>
    <w:tmpl w:val="894EE87C"/>
    <w:lvl w:ilvl="0">
      <w:numFmt w:val="bullet"/>
      <w:suff w:val="nothing"/>
      <w:lvlText w:val="•"/>
      <w:lvlJc w:val="left"/>
      <w:pPr>
        <w:ind w:left="0" w:firstLine="360"/>
      </w:pPr>
      <w:rPr>
        <w:rFonts w:hint="default"/>
        <w:color w:val="000000"/>
        <w:position w:val="0"/>
        <w:sz w:val="24"/>
      </w:rPr>
    </w:lvl>
    <w:lvl w:ilvl="1">
      <w:numFmt w:val="bullet"/>
      <w:lvlText w:val="-"/>
      <w:lvlJc w:val="left"/>
      <w:pPr>
        <w:tabs>
          <w:tab w:val="num" w:pos="180"/>
        </w:tabs>
        <w:ind w:left="180" w:firstLine="504"/>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0">
    <w:nsid w:val="00000018"/>
    <w:multiLevelType w:val="multilevel"/>
    <w:tmpl w:val="894EE88A"/>
    <w:lvl w:ilvl="0">
      <w:numFmt w:val="bullet"/>
      <w:lvlText w:val="•"/>
      <w:lvlJc w:val="left"/>
      <w:pPr>
        <w:tabs>
          <w:tab w:val="num" w:pos="180"/>
        </w:tabs>
        <w:ind w:left="180" w:firstLine="180"/>
      </w:pPr>
      <w:rPr>
        <w:rFonts w:hint="default"/>
        <w:color w:val="000000"/>
        <w:position w:val="0"/>
        <w:sz w:val="24"/>
      </w:rPr>
    </w:lvl>
    <w:lvl w:ilvl="1">
      <w:start w:val="1"/>
      <w:numFmt w:val="bullet"/>
      <w:suff w:val="nothing"/>
      <w:lvlText w:val="•"/>
      <w:lvlJc w:val="left"/>
      <w:pPr>
        <w:ind w:left="0" w:firstLine="684"/>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1">
    <w:nsid w:val="00000025"/>
    <w:multiLevelType w:val="multilevel"/>
    <w:tmpl w:val="894EE897"/>
    <w:lvl w:ilvl="0">
      <w:numFmt w:val="bullet"/>
      <w:lvlText w:val="-"/>
      <w:lvlJc w:val="left"/>
      <w:pPr>
        <w:tabs>
          <w:tab w:val="num" w:pos="180"/>
        </w:tabs>
        <w:ind w:left="180" w:firstLine="18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2">
    <w:nsid w:val="00000027"/>
    <w:multiLevelType w:val="multilevel"/>
    <w:tmpl w:val="894EE899"/>
    <w:lvl w:ilvl="0">
      <w:numFmt w:val="bullet"/>
      <w:lvlText w:val="-"/>
      <w:lvlJc w:val="left"/>
      <w:pPr>
        <w:tabs>
          <w:tab w:val="num" w:pos="180"/>
        </w:tabs>
        <w:ind w:left="180" w:firstLine="18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3">
    <w:nsid w:val="00000028"/>
    <w:multiLevelType w:val="multilevel"/>
    <w:tmpl w:val="894EE89A"/>
    <w:lvl w:ilvl="0">
      <w:numFmt w:val="bullet"/>
      <w:suff w:val="nothing"/>
      <w:lvlText w:val="•"/>
      <w:lvlJc w:val="left"/>
      <w:pPr>
        <w:ind w:left="0" w:firstLine="180"/>
      </w:pPr>
      <w:rPr>
        <w:rFonts w:hint="default"/>
        <w:color w:val="000000"/>
        <w:position w:val="0"/>
        <w:sz w:val="24"/>
      </w:rPr>
    </w:lvl>
    <w:lvl w:ilvl="1">
      <w:numFmt w:val="bullet"/>
      <w:lvlText w:val="-"/>
      <w:lvlJc w:val="left"/>
      <w:pPr>
        <w:tabs>
          <w:tab w:val="num" w:pos="180"/>
        </w:tabs>
        <w:ind w:left="180" w:firstLine="18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4">
    <w:nsid w:val="00000029"/>
    <w:multiLevelType w:val="multilevel"/>
    <w:tmpl w:val="894EE89B"/>
    <w:lvl w:ilvl="0">
      <w:numFmt w:val="bullet"/>
      <w:lvlText w:val="-"/>
      <w:lvlJc w:val="left"/>
      <w:pPr>
        <w:tabs>
          <w:tab w:val="num" w:pos="180"/>
        </w:tabs>
        <w:ind w:left="180" w:firstLine="18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5">
    <w:nsid w:val="0000002B"/>
    <w:multiLevelType w:val="multilevel"/>
    <w:tmpl w:val="894EE89D"/>
    <w:lvl w:ilvl="0">
      <w:numFmt w:val="bullet"/>
      <w:lvlText w:val="-"/>
      <w:lvlJc w:val="left"/>
      <w:pPr>
        <w:tabs>
          <w:tab w:val="num" w:pos="180"/>
        </w:tabs>
        <w:ind w:left="180" w:firstLine="180"/>
      </w:pPr>
      <w:rPr>
        <w:rFonts w:hint="default"/>
        <w:color w:val="000000"/>
        <w:position w:val="0"/>
        <w:sz w:val="24"/>
      </w:rPr>
    </w:lvl>
    <w:lvl w:ilvl="1">
      <w:start w:val="1"/>
      <w:numFmt w:val="bullet"/>
      <w:suff w:val="nothing"/>
      <w:lvlText w:val="•"/>
      <w:lvlJc w:val="left"/>
      <w:pPr>
        <w:ind w:left="0" w:firstLine="684"/>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6">
    <w:nsid w:val="02F51607"/>
    <w:multiLevelType w:val="hybridMultilevel"/>
    <w:tmpl w:val="5C1C3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2E4249"/>
    <w:multiLevelType w:val="hybridMultilevel"/>
    <w:tmpl w:val="344A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7D1D"/>
    <w:multiLevelType w:val="hybridMultilevel"/>
    <w:tmpl w:val="0636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B1212"/>
    <w:multiLevelType w:val="hybridMultilevel"/>
    <w:tmpl w:val="CF0CA47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B6B3B6F"/>
    <w:multiLevelType w:val="hybridMultilevel"/>
    <w:tmpl w:val="C132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864C7"/>
    <w:multiLevelType w:val="hybridMultilevel"/>
    <w:tmpl w:val="DA82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E50BE"/>
    <w:multiLevelType w:val="hybridMultilevel"/>
    <w:tmpl w:val="C030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F38F2"/>
    <w:multiLevelType w:val="hybridMultilevel"/>
    <w:tmpl w:val="9228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26403"/>
    <w:multiLevelType w:val="hybridMultilevel"/>
    <w:tmpl w:val="40B4964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2D7163F"/>
    <w:multiLevelType w:val="hybridMultilevel"/>
    <w:tmpl w:val="32A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3DAA"/>
    <w:multiLevelType w:val="hybridMultilevel"/>
    <w:tmpl w:val="B02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20"/>
  </w:num>
  <w:num w:numId="12">
    <w:abstractNumId w:val="25"/>
  </w:num>
  <w:num w:numId="13">
    <w:abstractNumId w:val="21"/>
  </w:num>
  <w:num w:numId="14">
    <w:abstractNumId w:val="26"/>
  </w:num>
  <w:num w:numId="15">
    <w:abstractNumId w:val="18"/>
  </w:num>
  <w:num w:numId="16">
    <w:abstractNumId w:val="17"/>
  </w:num>
  <w:num w:numId="17">
    <w:abstractNumId w:val="22"/>
  </w:num>
  <w:num w:numId="18">
    <w:abstractNumId w:val="23"/>
  </w:num>
  <w:num w:numId="19">
    <w:abstractNumId w:val="19"/>
  </w:num>
  <w:num w:numId="20">
    <w:abstractNumId w:val="24"/>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B4"/>
    <w:rsid w:val="0002023A"/>
    <w:rsid w:val="00047CB9"/>
    <w:rsid w:val="00047D5C"/>
    <w:rsid w:val="000C5637"/>
    <w:rsid w:val="000E41BB"/>
    <w:rsid w:val="00140C8A"/>
    <w:rsid w:val="00164851"/>
    <w:rsid w:val="0019390D"/>
    <w:rsid w:val="001A7A82"/>
    <w:rsid w:val="001B7F25"/>
    <w:rsid w:val="001D4191"/>
    <w:rsid w:val="00241F42"/>
    <w:rsid w:val="00255FF9"/>
    <w:rsid w:val="002568F1"/>
    <w:rsid w:val="002605F4"/>
    <w:rsid w:val="002852B1"/>
    <w:rsid w:val="002B0C31"/>
    <w:rsid w:val="00346615"/>
    <w:rsid w:val="00355522"/>
    <w:rsid w:val="00361241"/>
    <w:rsid w:val="00361F57"/>
    <w:rsid w:val="00362D9F"/>
    <w:rsid w:val="00375AEA"/>
    <w:rsid w:val="00387191"/>
    <w:rsid w:val="003B4289"/>
    <w:rsid w:val="003D78C2"/>
    <w:rsid w:val="003E6F9F"/>
    <w:rsid w:val="004075AE"/>
    <w:rsid w:val="00411812"/>
    <w:rsid w:val="004123EE"/>
    <w:rsid w:val="00480B34"/>
    <w:rsid w:val="004B3016"/>
    <w:rsid w:val="004D074A"/>
    <w:rsid w:val="004E059A"/>
    <w:rsid w:val="004E199E"/>
    <w:rsid w:val="004E6340"/>
    <w:rsid w:val="004E7E67"/>
    <w:rsid w:val="00503DB4"/>
    <w:rsid w:val="005046E1"/>
    <w:rsid w:val="005215AC"/>
    <w:rsid w:val="00567967"/>
    <w:rsid w:val="005711B9"/>
    <w:rsid w:val="00575F17"/>
    <w:rsid w:val="00592C51"/>
    <w:rsid w:val="005D3B5B"/>
    <w:rsid w:val="005D4C0C"/>
    <w:rsid w:val="005E433D"/>
    <w:rsid w:val="005F2181"/>
    <w:rsid w:val="00602E0A"/>
    <w:rsid w:val="006254FE"/>
    <w:rsid w:val="0062793B"/>
    <w:rsid w:val="00655074"/>
    <w:rsid w:val="00682CCE"/>
    <w:rsid w:val="006877C8"/>
    <w:rsid w:val="006F3902"/>
    <w:rsid w:val="00712373"/>
    <w:rsid w:val="0075615D"/>
    <w:rsid w:val="007708E2"/>
    <w:rsid w:val="00773D69"/>
    <w:rsid w:val="007953AD"/>
    <w:rsid w:val="007B4160"/>
    <w:rsid w:val="007C565B"/>
    <w:rsid w:val="007E2170"/>
    <w:rsid w:val="007E372E"/>
    <w:rsid w:val="007E62BC"/>
    <w:rsid w:val="00820A9B"/>
    <w:rsid w:val="008417F0"/>
    <w:rsid w:val="00862DAC"/>
    <w:rsid w:val="00874642"/>
    <w:rsid w:val="008A22D5"/>
    <w:rsid w:val="008C0564"/>
    <w:rsid w:val="008C6145"/>
    <w:rsid w:val="008E31DD"/>
    <w:rsid w:val="008F583D"/>
    <w:rsid w:val="00934B95"/>
    <w:rsid w:val="00A46DD7"/>
    <w:rsid w:val="00A509D6"/>
    <w:rsid w:val="00A523B1"/>
    <w:rsid w:val="00A54910"/>
    <w:rsid w:val="00A62861"/>
    <w:rsid w:val="00A633A5"/>
    <w:rsid w:val="00A6576F"/>
    <w:rsid w:val="00A835F0"/>
    <w:rsid w:val="00A954CC"/>
    <w:rsid w:val="00AB659A"/>
    <w:rsid w:val="00AF5EEA"/>
    <w:rsid w:val="00B07500"/>
    <w:rsid w:val="00B12768"/>
    <w:rsid w:val="00B2454F"/>
    <w:rsid w:val="00B678A7"/>
    <w:rsid w:val="00B72C5D"/>
    <w:rsid w:val="00B82F28"/>
    <w:rsid w:val="00B9078E"/>
    <w:rsid w:val="00B92D26"/>
    <w:rsid w:val="00BA287B"/>
    <w:rsid w:val="00BD3692"/>
    <w:rsid w:val="00BD4BDF"/>
    <w:rsid w:val="00BE3D76"/>
    <w:rsid w:val="00C679F8"/>
    <w:rsid w:val="00C855CE"/>
    <w:rsid w:val="00CA112B"/>
    <w:rsid w:val="00CA2EF5"/>
    <w:rsid w:val="00CB62B9"/>
    <w:rsid w:val="00CC45D1"/>
    <w:rsid w:val="00D042F4"/>
    <w:rsid w:val="00D058D6"/>
    <w:rsid w:val="00D42AE7"/>
    <w:rsid w:val="00D52D0E"/>
    <w:rsid w:val="00D6487D"/>
    <w:rsid w:val="00E00D3B"/>
    <w:rsid w:val="00E24BDA"/>
    <w:rsid w:val="00E26CD7"/>
    <w:rsid w:val="00E83634"/>
    <w:rsid w:val="00EC094A"/>
    <w:rsid w:val="00EF33F5"/>
    <w:rsid w:val="00F02F87"/>
    <w:rsid w:val="00F058F7"/>
    <w:rsid w:val="00F568FC"/>
    <w:rsid w:val="00F83209"/>
    <w:rsid w:val="00F9063E"/>
    <w:rsid w:val="00F92268"/>
    <w:rsid w:val="00FC50D5"/>
    <w:rsid w:val="00FE51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A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AD"/>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795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qFormat/>
    <w:rsid w:val="007953AD"/>
    <w:pPr>
      <w:keepNext/>
      <w:jc w:val="center"/>
      <w:outlineLvl w:val="0"/>
    </w:pPr>
    <w:rPr>
      <w:rFonts w:ascii="Gill Sans" w:eastAsia="ヒラギノ角ゴ Pro W3" w:hAnsi="Gill Sans" w:cs="Times New Roman"/>
      <w:color w:val="000000"/>
      <w:sz w:val="40"/>
      <w:szCs w:val="20"/>
    </w:rPr>
  </w:style>
  <w:style w:type="paragraph" w:customStyle="1" w:styleId="Heading21">
    <w:name w:val="Heading 21"/>
    <w:next w:val="Heading2"/>
    <w:autoRedefine/>
    <w:qFormat/>
    <w:rsid w:val="00E83634"/>
    <w:pPr>
      <w:tabs>
        <w:tab w:val="left" w:pos="9360"/>
      </w:tabs>
      <w:outlineLvl w:val="1"/>
    </w:pPr>
    <w:rPr>
      <w:rFonts w:ascii="Gill Sans" w:eastAsia="ヒラギノ角ゴ Pro W3" w:hAnsi="Gill Sans" w:cs="Times New Roman"/>
      <w:b/>
      <w:color w:val="948A54" w:themeColor="background2" w:themeShade="80"/>
    </w:rPr>
  </w:style>
  <w:style w:type="paragraph" w:customStyle="1" w:styleId="Heading31">
    <w:name w:val="Heading 31"/>
    <w:next w:val="Normal"/>
    <w:autoRedefine/>
    <w:qFormat/>
    <w:rsid w:val="00CA112B"/>
    <w:pPr>
      <w:keepNext/>
      <w:spacing w:after="60"/>
      <w:outlineLvl w:val="2"/>
    </w:pPr>
    <w:rPr>
      <w:rFonts w:ascii="Gill Sans" w:eastAsia="ヒラギノ角ゴ Pro W3" w:hAnsi="Gill Sans" w:cs="Times New Roman"/>
      <w:b/>
      <w:color w:val="17365D" w:themeColor="text2" w:themeShade="BF"/>
      <w:sz w:val="28"/>
      <w:szCs w:val="20"/>
    </w:rPr>
  </w:style>
  <w:style w:type="paragraph" w:customStyle="1" w:styleId="BodyBullet">
    <w:name w:val="Body Bullet"/>
    <w:rsid w:val="007953AD"/>
    <w:pPr>
      <w:spacing w:before="60"/>
    </w:pPr>
    <w:rPr>
      <w:rFonts w:ascii="Helvetica" w:eastAsia="ヒラギノ角ゴ Pro W3" w:hAnsi="Helvetica" w:cs="Times New Roman"/>
      <w:color w:val="000000"/>
      <w:szCs w:val="20"/>
    </w:rPr>
  </w:style>
  <w:style w:type="paragraph" w:customStyle="1" w:styleId="FootnoteText1">
    <w:name w:val="Footnote Text1"/>
    <w:rsid w:val="007953AD"/>
    <w:rPr>
      <w:rFonts w:ascii="Helvetica" w:eastAsia="ヒラギノ角ゴ Pro W3" w:hAnsi="Helvetica" w:cs="Times New Roman"/>
      <w:color w:val="000000"/>
      <w:sz w:val="16"/>
      <w:szCs w:val="20"/>
    </w:rPr>
  </w:style>
  <w:style w:type="paragraph" w:customStyle="1" w:styleId="FreeForm">
    <w:name w:val="Free Form"/>
    <w:rsid w:val="007953AD"/>
    <w:rPr>
      <w:rFonts w:ascii="Helvetica" w:eastAsia="ヒラギノ角ゴ Pro W3" w:hAnsi="Helvetica" w:cs="Times New Roman"/>
      <w:color w:val="000000"/>
      <w:szCs w:val="20"/>
    </w:rPr>
  </w:style>
  <w:style w:type="numbering" w:customStyle="1" w:styleId="Bullet">
    <w:name w:val="Bullet"/>
    <w:rsid w:val="007953AD"/>
  </w:style>
  <w:style w:type="paragraph" w:styleId="Footer">
    <w:name w:val="footer"/>
    <w:basedOn w:val="Normal"/>
    <w:link w:val="FooterChar"/>
    <w:rsid w:val="007953AD"/>
    <w:pPr>
      <w:tabs>
        <w:tab w:val="center" w:pos="4320"/>
        <w:tab w:val="right" w:pos="8640"/>
      </w:tabs>
    </w:pPr>
  </w:style>
  <w:style w:type="character" w:customStyle="1" w:styleId="FooterChar">
    <w:name w:val="Footer Char"/>
    <w:basedOn w:val="DefaultParagraphFont"/>
    <w:link w:val="Footer"/>
    <w:rsid w:val="007953AD"/>
    <w:rPr>
      <w:rFonts w:ascii="Times New Roman" w:eastAsia="Times New Roman" w:hAnsi="Times New Roman" w:cs="Times New Roman"/>
    </w:rPr>
  </w:style>
  <w:style w:type="character" w:styleId="Emphasis">
    <w:name w:val="Emphasis"/>
    <w:qFormat/>
    <w:rsid w:val="007953AD"/>
    <w:rPr>
      <w:i/>
      <w:iCs/>
    </w:rPr>
  </w:style>
  <w:style w:type="character" w:styleId="PageNumber">
    <w:name w:val="page number"/>
    <w:rsid w:val="007953AD"/>
  </w:style>
  <w:style w:type="character" w:customStyle="1" w:styleId="Heading2Char">
    <w:name w:val="Heading 2 Char"/>
    <w:basedOn w:val="DefaultParagraphFont"/>
    <w:link w:val="Heading2"/>
    <w:uiPriority w:val="9"/>
    <w:semiHidden/>
    <w:rsid w:val="007953AD"/>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EF33F5"/>
  </w:style>
  <w:style w:type="character" w:customStyle="1" w:styleId="EndnoteTextChar">
    <w:name w:val="Endnote Text Char"/>
    <w:basedOn w:val="DefaultParagraphFont"/>
    <w:link w:val="EndnoteText"/>
    <w:uiPriority w:val="99"/>
    <w:rsid w:val="00EF33F5"/>
    <w:rPr>
      <w:rFonts w:ascii="Times New Roman" w:eastAsia="Times New Roman" w:hAnsi="Times New Roman" w:cs="Times New Roman"/>
    </w:rPr>
  </w:style>
  <w:style w:type="character" w:styleId="EndnoteReference">
    <w:name w:val="endnote reference"/>
    <w:basedOn w:val="DefaultParagraphFont"/>
    <w:unhideWhenUsed/>
    <w:rsid w:val="00EF33F5"/>
    <w:rPr>
      <w:vertAlign w:val="superscript"/>
    </w:rPr>
  </w:style>
  <w:style w:type="paragraph" w:styleId="ListParagraph">
    <w:name w:val="List Paragraph"/>
    <w:basedOn w:val="Normal"/>
    <w:uiPriority w:val="34"/>
    <w:qFormat/>
    <w:rsid w:val="002852B1"/>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D6487D"/>
  </w:style>
  <w:style w:type="character" w:customStyle="1" w:styleId="FootnoteTextChar">
    <w:name w:val="Footnote Text Char"/>
    <w:basedOn w:val="DefaultParagraphFont"/>
    <w:link w:val="FootnoteText"/>
    <w:uiPriority w:val="99"/>
    <w:rsid w:val="00D6487D"/>
    <w:rPr>
      <w:rFonts w:ascii="Times New Roman" w:eastAsia="Times New Roman" w:hAnsi="Times New Roman" w:cs="Times New Roman"/>
    </w:rPr>
  </w:style>
  <w:style w:type="character" w:styleId="FootnoteReference">
    <w:name w:val="footnote reference"/>
    <w:basedOn w:val="DefaultParagraphFont"/>
    <w:uiPriority w:val="99"/>
    <w:unhideWhenUsed/>
    <w:rsid w:val="00D6487D"/>
    <w:rPr>
      <w:vertAlign w:val="superscript"/>
    </w:rPr>
  </w:style>
  <w:style w:type="paragraph" w:styleId="Header">
    <w:name w:val="header"/>
    <w:basedOn w:val="Normal"/>
    <w:link w:val="HeaderChar"/>
    <w:uiPriority w:val="99"/>
    <w:unhideWhenUsed/>
    <w:rsid w:val="00241F42"/>
    <w:pPr>
      <w:tabs>
        <w:tab w:val="center" w:pos="4320"/>
        <w:tab w:val="right" w:pos="8640"/>
      </w:tabs>
    </w:pPr>
  </w:style>
  <w:style w:type="character" w:customStyle="1" w:styleId="HeaderChar">
    <w:name w:val="Header Char"/>
    <w:basedOn w:val="DefaultParagraphFont"/>
    <w:link w:val="Header"/>
    <w:uiPriority w:val="99"/>
    <w:rsid w:val="00241F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55CE"/>
    <w:rPr>
      <w:rFonts w:ascii="Tahoma" w:hAnsi="Tahoma" w:cs="Tahoma"/>
      <w:sz w:val="16"/>
      <w:szCs w:val="16"/>
    </w:rPr>
  </w:style>
  <w:style w:type="character" w:customStyle="1" w:styleId="BalloonTextChar">
    <w:name w:val="Balloon Text Char"/>
    <w:basedOn w:val="DefaultParagraphFont"/>
    <w:link w:val="BalloonText"/>
    <w:uiPriority w:val="99"/>
    <w:semiHidden/>
    <w:rsid w:val="00C855CE"/>
    <w:rPr>
      <w:rFonts w:ascii="Tahoma" w:eastAsia="Times New Roman" w:hAnsi="Tahoma" w:cs="Tahoma"/>
      <w:sz w:val="16"/>
      <w:szCs w:val="16"/>
    </w:rPr>
  </w:style>
  <w:style w:type="character" w:styleId="Hyperlink">
    <w:name w:val="Hyperlink"/>
    <w:rsid w:val="00503DB4"/>
    <w:rPr>
      <w:color w:val="0000FF"/>
      <w:u w:val="single"/>
    </w:rPr>
  </w:style>
  <w:style w:type="paragraph" w:customStyle="1" w:styleId="BodyBulletA">
    <w:name w:val="Body Bullet A"/>
    <w:rsid w:val="008E31DD"/>
    <w:pPr>
      <w:tabs>
        <w:tab w:val="left" w:pos="360"/>
      </w:tabs>
      <w:spacing w:before="60"/>
    </w:pPr>
    <w:rPr>
      <w:rFonts w:ascii="Calibri" w:eastAsia="ヒラギノ角ゴ Pro W3" w:hAnsi="Calibri"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AD"/>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795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qFormat/>
    <w:rsid w:val="007953AD"/>
    <w:pPr>
      <w:keepNext/>
      <w:jc w:val="center"/>
      <w:outlineLvl w:val="0"/>
    </w:pPr>
    <w:rPr>
      <w:rFonts w:ascii="Gill Sans" w:eastAsia="ヒラギノ角ゴ Pro W3" w:hAnsi="Gill Sans" w:cs="Times New Roman"/>
      <w:color w:val="000000"/>
      <w:sz w:val="40"/>
      <w:szCs w:val="20"/>
    </w:rPr>
  </w:style>
  <w:style w:type="paragraph" w:customStyle="1" w:styleId="Heading21">
    <w:name w:val="Heading 21"/>
    <w:next w:val="Heading2"/>
    <w:autoRedefine/>
    <w:qFormat/>
    <w:rsid w:val="00E83634"/>
    <w:pPr>
      <w:tabs>
        <w:tab w:val="left" w:pos="9360"/>
      </w:tabs>
      <w:outlineLvl w:val="1"/>
    </w:pPr>
    <w:rPr>
      <w:rFonts w:ascii="Gill Sans" w:eastAsia="ヒラギノ角ゴ Pro W3" w:hAnsi="Gill Sans" w:cs="Times New Roman"/>
      <w:b/>
      <w:color w:val="948A54" w:themeColor="background2" w:themeShade="80"/>
    </w:rPr>
  </w:style>
  <w:style w:type="paragraph" w:customStyle="1" w:styleId="Heading31">
    <w:name w:val="Heading 31"/>
    <w:next w:val="Normal"/>
    <w:autoRedefine/>
    <w:qFormat/>
    <w:rsid w:val="00CA112B"/>
    <w:pPr>
      <w:keepNext/>
      <w:spacing w:after="60"/>
      <w:outlineLvl w:val="2"/>
    </w:pPr>
    <w:rPr>
      <w:rFonts w:ascii="Gill Sans" w:eastAsia="ヒラギノ角ゴ Pro W3" w:hAnsi="Gill Sans" w:cs="Times New Roman"/>
      <w:b/>
      <w:color w:val="17365D" w:themeColor="text2" w:themeShade="BF"/>
      <w:sz w:val="28"/>
      <w:szCs w:val="20"/>
    </w:rPr>
  </w:style>
  <w:style w:type="paragraph" w:customStyle="1" w:styleId="BodyBullet">
    <w:name w:val="Body Bullet"/>
    <w:rsid w:val="007953AD"/>
    <w:pPr>
      <w:spacing w:before="60"/>
    </w:pPr>
    <w:rPr>
      <w:rFonts w:ascii="Helvetica" w:eastAsia="ヒラギノ角ゴ Pro W3" w:hAnsi="Helvetica" w:cs="Times New Roman"/>
      <w:color w:val="000000"/>
      <w:szCs w:val="20"/>
    </w:rPr>
  </w:style>
  <w:style w:type="paragraph" w:customStyle="1" w:styleId="FootnoteText1">
    <w:name w:val="Footnote Text1"/>
    <w:rsid w:val="007953AD"/>
    <w:rPr>
      <w:rFonts w:ascii="Helvetica" w:eastAsia="ヒラギノ角ゴ Pro W3" w:hAnsi="Helvetica" w:cs="Times New Roman"/>
      <w:color w:val="000000"/>
      <w:sz w:val="16"/>
      <w:szCs w:val="20"/>
    </w:rPr>
  </w:style>
  <w:style w:type="paragraph" w:customStyle="1" w:styleId="FreeForm">
    <w:name w:val="Free Form"/>
    <w:rsid w:val="007953AD"/>
    <w:rPr>
      <w:rFonts w:ascii="Helvetica" w:eastAsia="ヒラギノ角ゴ Pro W3" w:hAnsi="Helvetica" w:cs="Times New Roman"/>
      <w:color w:val="000000"/>
      <w:szCs w:val="20"/>
    </w:rPr>
  </w:style>
  <w:style w:type="numbering" w:customStyle="1" w:styleId="Bullet">
    <w:name w:val="Bullet"/>
    <w:rsid w:val="007953AD"/>
  </w:style>
  <w:style w:type="paragraph" w:styleId="Footer">
    <w:name w:val="footer"/>
    <w:basedOn w:val="Normal"/>
    <w:link w:val="FooterChar"/>
    <w:rsid w:val="007953AD"/>
    <w:pPr>
      <w:tabs>
        <w:tab w:val="center" w:pos="4320"/>
        <w:tab w:val="right" w:pos="8640"/>
      </w:tabs>
    </w:pPr>
  </w:style>
  <w:style w:type="character" w:customStyle="1" w:styleId="FooterChar">
    <w:name w:val="Footer Char"/>
    <w:basedOn w:val="DefaultParagraphFont"/>
    <w:link w:val="Footer"/>
    <w:rsid w:val="007953AD"/>
    <w:rPr>
      <w:rFonts w:ascii="Times New Roman" w:eastAsia="Times New Roman" w:hAnsi="Times New Roman" w:cs="Times New Roman"/>
    </w:rPr>
  </w:style>
  <w:style w:type="character" w:styleId="Emphasis">
    <w:name w:val="Emphasis"/>
    <w:qFormat/>
    <w:rsid w:val="007953AD"/>
    <w:rPr>
      <w:i/>
      <w:iCs/>
    </w:rPr>
  </w:style>
  <w:style w:type="character" w:styleId="PageNumber">
    <w:name w:val="page number"/>
    <w:rsid w:val="007953AD"/>
  </w:style>
  <w:style w:type="character" w:customStyle="1" w:styleId="Heading2Char">
    <w:name w:val="Heading 2 Char"/>
    <w:basedOn w:val="DefaultParagraphFont"/>
    <w:link w:val="Heading2"/>
    <w:uiPriority w:val="9"/>
    <w:semiHidden/>
    <w:rsid w:val="007953AD"/>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EF33F5"/>
  </w:style>
  <w:style w:type="character" w:customStyle="1" w:styleId="EndnoteTextChar">
    <w:name w:val="Endnote Text Char"/>
    <w:basedOn w:val="DefaultParagraphFont"/>
    <w:link w:val="EndnoteText"/>
    <w:uiPriority w:val="99"/>
    <w:rsid w:val="00EF33F5"/>
    <w:rPr>
      <w:rFonts w:ascii="Times New Roman" w:eastAsia="Times New Roman" w:hAnsi="Times New Roman" w:cs="Times New Roman"/>
    </w:rPr>
  </w:style>
  <w:style w:type="character" w:styleId="EndnoteReference">
    <w:name w:val="endnote reference"/>
    <w:basedOn w:val="DefaultParagraphFont"/>
    <w:unhideWhenUsed/>
    <w:rsid w:val="00EF33F5"/>
    <w:rPr>
      <w:vertAlign w:val="superscript"/>
    </w:rPr>
  </w:style>
  <w:style w:type="paragraph" w:styleId="ListParagraph">
    <w:name w:val="List Paragraph"/>
    <w:basedOn w:val="Normal"/>
    <w:uiPriority w:val="34"/>
    <w:qFormat/>
    <w:rsid w:val="002852B1"/>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D6487D"/>
  </w:style>
  <w:style w:type="character" w:customStyle="1" w:styleId="FootnoteTextChar">
    <w:name w:val="Footnote Text Char"/>
    <w:basedOn w:val="DefaultParagraphFont"/>
    <w:link w:val="FootnoteText"/>
    <w:uiPriority w:val="99"/>
    <w:rsid w:val="00D6487D"/>
    <w:rPr>
      <w:rFonts w:ascii="Times New Roman" w:eastAsia="Times New Roman" w:hAnsi="Times New Roman" w:cs="Times New Roman"/>
    </w:rPr>
  </w:style>
  <w:style w:type="character" w:styleId="FootnoteReference">
    <w:name w:val="footnote reference"/>
    <w:basedOn w:val="DefaultParagraphFont"/>
    <w:uiPriority w:val="99"/>
    <w:unhideWhenUsed/>
    <w:rsid w:val="00D6487D"/>
    <w:rPr>
      <w:vertAlign w:val="superscript"/>
    </w:rPr>
  </w:style>
  <w:style w:type="paragraph" w:styleId="Header">
    <w:name w:val="header"/>
    <w:basedOn w:val="Normal"/>
    <w:link w:val="HeaderChar"/>
    <w:uiPriority w:val="99"/>
    <w:unhideWhenUsed/>
    <w:rsid w:val="00241F42"/>
    <w:pPr>
      <w:tabs>
        <w:tab w:val="center" w:pos="4320"/>
        <w:tab w:val="right" w:pos="8640"/>
      </w:tabs>
    </w:pPr>
  </w:style>
  <w:style w:type="character" w:customStyle="1" w:styleId="HeaderChar">
    <w:name w:val="Header Char"/>
    <w:basedOn w:val="DefaultParagraphFont"/>
    <w:link w:val="Header"/>
    <w:uiPriority w:val="99"/>
    <w:rsid w:val="00241F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55CE"/>
    <w:rPr>
      <w:rFonts w:ascii="Tahoma" w:hAnsi="Tahoma" w:cs="Tahoma"/>
      <w:sz w:val="16"/>
      <w:szCs w:val="16"/>
    </w:rPr>
  </w:style>
  <w:style w:type="character" w:customStyle="1" w:styleId="BalloonTextChar">
    <w:name w:val="Balloon Text Char"/>
    <w:basedOn w:val="DefaultParagraphFont"/>
    <w:link w:val="BalloonText"/>
    <w:uiPriority w:val="99"/>
    <w:semiHidden/>
    <w:rsid w:val="00C855CE"/>
    <w:rPr>
      <w:rFonts w:ascii="Tahoma" w:eastAsia="Times New Roman" w:hAnsi="Tahoma" w:cs="Tahoma"/>
      <w:sz w:val="16"/>
      <w:szCs w:val="16"/>
    </w:rPr>
  </w:style>
  <w:style w:type="character" w:styleId="Hyperlink">
    <w:name w:val="Hyperlink"/>
    <w:rsid w:val="00503DB4"/>
    <w:rPr>
      <w:color w:val="0000FF"/>
      <w:u w:val="single"/>
    </w:rPr>
  </w:style>
  <w:style w:type="paragraph" w:customStyle="1" w:styleId="BodyBulletA">
    <w:name w:val="Body Bullet A"/>
    <w:rsid w:val="008E31DD"/>
    <w:pPr>
      <w:tabs>
        <w:tab w:val="left" w:pos="360"/>
      </w:tabs>
      <w:spacing w:before="60"/>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uwgmc.org/sites/uwgmc.org/files/Final_Mercer_CHAReport_July122012.pdf" TargetMode="External"/><Relationship Id="rId4" Type="http://schemas.openxmlformats.org/officeDocument/2006/relationships/hyperlink" Target="http://pacf.org/wp-content/uploads/Shapingthefuture.pdf" TargetMode="External"/><Relationship Id="rId5" Type="http://schemas.openxmlformats.org/officeDocument/2006/relationships/hyperlink" Target="http://www.fas.org/sgp/crs/misc/RS20301.pdf" TargetMode="External"/><Relationship Id="rId6" Type="http://schemas.openxmlformats.org/officeDocument/2006/relationships/hyperlink" Target="http://www.futureofsexed.org/documents/josh-fose-standards-web.pdf" TargetMode="External"/><Relationship Id="rId7" Type="http://schemas.openxmlformats.org/officeDocument/2006/relationships/hyperlink" Target="http://www.siecus.org/index.cfm?fuseaction=Page.ViewPage&amp;PageID=1234" TargetMode="External"/><Relationship Id="rId8" Type="http://schemas.openxmlformats.org/officeDocument/2006/relationships/hyperlink" Target="http://www.crossroadsprograms.org/who_we_serve/capable_adolescent_mothers.html" TargetMode="External"/><Relationship Id="rId9" Type="http://schemas.openxmlformats.org/officeDocument/2006/relationships/hyperlink" Target="http://www.nj.gov/dcf/families/educational/teach/" TargetMode="External"/><Relationship Id="rId10" Type="http://schemas.openxmlformats.org/officeDocument/2006/relationships/hyperlink" Target="http://www.inspirahealthnetwork.org/?id=2259&amp;sid=1" TargetMode="External"/><Relationship Id="rId1" Type="http://schemas.openxmlformats.org/officeDocument/2006/relationships/hyperlink" Target="http://www.cpeip.fsu.edu/resourceFiles/resourceFile_78.pdf" TargetMode="External"/><Relationship Id="rId2" Type="http://schemas.openxmlformats.org/officeDocument/2006/relationships/hyperlink" Target="http://www.hhs.gov/ash/oah/adolescent-health-topics/reproductive-health/states/nj.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ll25:Library:Application%20Support:Microsoft:Office:User%20Templates:My%20Templates:Issue%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Issue Brief Template.dotx</Template>
  <TotalTime>5</TotalTime>
  <Pages>3</Pages>
  <Words>1402</Words>
  <Characters>7885</Characters>
  <Application>Microsoft Macintosh Word</Application>
  <DocSecurity>0</DocSecurity>
  <Lines>123</Lines>
  <Paragraphs>77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Bell</dc:creator>
  <cp:lastModifiedBy>Madeline Bell</cp:lastModifiedBy>
  <cp:revision>3</cp:revision>
  <cp:lastPrinted>2014-12-10T15:56:00Z</cp:lastPrinted>
  <dcterms:created xsi:type="dcterms:W3CDTF">2014-12-17T16:41:00Z</dcterms:created>
  <dcterms:modified xsi:type="dcterms:W3CDTF">2014-12-17T16:57:00Z</dcterms:modified>
</cp:coreProperties>
</file>